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77777777" w:rsidR="00B721B0" w:rsidRPr="00612B1F" w:rsidRDefault="00B721B0" w:rsidP="00612B1F">
      <w:pPr>
        <w:spacing w:after="0" w:line="240" w:lineRule="auto"/>
        <w:rPr>
          <w:rFonts w:ascii="Garamond" w:hAnsi="Garamond" w:cs="Times New Roman"/>
          <w:b/>
          <w:sz w:val="26"/>
          <w:szCs w:val="26"/>
        </w:rPr>
      </w:pPr>
      <w:r w:rsidRPr="00612B1F">
        <w:rPr>
          <w:rFonts w:ascii="Garamond" w:hAnsi="Garamond" w:cs="Times New Roman"/>
          <w:noProof/>
          <w:sz w:val="26"/>
          <w:szCs w:val="26"/>
        </w:rPr>
        <w:drawing>
          <wp:inline distT="0" distB="0" distL="0" distR="0" wp14:anchorId="75DB8572" wp14:editId="04C71BBF">
            <wp:extent cx="1822479" cy="1297354"/>
            <wp:effectExtent l="0" t="0" r="0" b="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12B1F">
        <w:rPr>
          <w:rStyle w:val="eop"/>
          <w:rFonts w:ascii="Garamond" w:hAnsi="Garamond" w:cs="Segoe UI"/>
          <w:sz w:val="26"/>
          <w:szCs w:val="26"/>
        </w:rPr>
        <w:t xml:space="preserve"> </w:t>
      </w:r>
    </w:p>
    <w:p w14:paraId="23D202F9" w14:textId="77777777" w:rsidR="00B721B0" w:rsidRPr="00612B1F" w:rsidRDefault="00B721B0" w:rsidP="00612B1F">
      <w:pPr>
        <w:pStyle w:val="paragraph"/>
        <w:spacing w:before="0" w:beforeAutospacing="0" w:after="0" w:afterAutospacing="0"/>
        <w:textAlignment w:val="baseline"/>
        <w:rPr>
          <w:rStyle w:val="eop"/>
          <w:rFonts w:ascii="Garamond" w:hAnsi="Garamond" w:cs="Segoe UI"/>
          <w:sz w:val="26"/>
          <w:szCs w:val="26"/>
        </w:rPr>
      </w:pPr>
      <w:r w:rsidRPr="00612B1F">
        <w:rPr>
          <w:rStyle w:val="eop"/>
          <w:rFonts w:ascii="Garamond" w:hAnsi="Garamond" w:cs="Segoe UI"/>
          <w:sz w:val="26"/>
          <w:szCs w:val="26"/>
        </w:rPr>
        <w:t xml:space="preserve"> </w:t>
      </w:r>
    </w:p>
    <w:p w14:paraId="609466F4" w14:textId="77777777" w:rsidR="00612B1F" w:rsidRPr="00612B1F" w:rsidRDefault="00612B1F" w:rsidP="00612B1F">
      <w:pPr>
        <w:pStyle w:val="paragraph"/>
        <w:spacing w:before="0" w:beforeAutospacing="0" w:after="0" w:afterAutospacing="0"/>
        <w:textAlignment w:val="baseline"/>
        <w:rPr>
          <w:rFonts w:ascii="Garamond" w:eastAsia="Calibri" w:hAnsi="Garamond"/>
          <w:b/>
          <w:bCs/>
          <w:sz w:val="26"/>
          <w:szCs w:val="26"/>
        </w:rPr>
      </w:pPr>
      <w:r w:rsidRPr="00612B1F">
        <w:rPr>
          <w:rStyle w:val="eop"/>
          <w:rFonts w:ascii="Garamond" w:hAnsi="Garamond" w:cs="Segoe UI"/>
          <w:b/>
          <w:bCs/>
          <w:sz w:val="26"/>
          <w:szCs w:val="26"/>
        </w:rPr>
        <w:t>November 3, 2024</w:t>
      </w:r>
      <w:r w:rsidRPr="00612B1F">
        <w:rPr>
          <w:rFonts w:ascii="Garamond" w:eastAsia="Calibri" w:hAnsi="Garamond"/>
          <w:b/>
          <w:bCs/>
          <w:sz w:val="26"/>
          <w:szCs w:val="26"/>
        </w:rPr>
        <w:t xml:space="preserve"> – All Saints’ Day (B), tr.</w:t>
      </w:r>
    </w:p>
    <w:p w14:paraId="383E7841" w14:textId="77777777" w:rsidR="00612B1F" w:rsidRPr="00612B1F" w:rsidRDefault="00612B1F" w:rsidP="00612B1F">
      <w:pPr>
        <w:spacing w:after="0" w:line="240" w:lineRule="auto"/>
        <w:outlineLvl w:val="0"/>
        <w:rPr>
          <w:rFonts w:ascii="Garamond" w:hAnsi="Garamond" w:cs="Times New Roman"/>
          <w:b/>
          <w:bCs/>
          <w:sz w:val="26"/>
          <w:szCs w:val="26"/>
        </w:rPr>
      </w:pPr>
      <w:r w:rsidRPr="00612B1F">
        <w:rPr>
          <w:rFonts w:ascii="Garamond" w:hAnsi="Garamond" w:cs="Times New Roman"/>
          <w:b/>
          <w:bCs/>
          <w:sz w:val="26"/>
          <w:szCs w:val="26"/>
        </w:rPr>
        <w:t>All Saints’ Day</w:t>
      </w:r>
    </w:p>
    <w:p w14:paraId="4F9838BE" w14:textId="77777777" w:rsidR="00612B1F" w:rsidRPr="00612B1F" w:rsidRDefault="00612B1F" w:rsidP="00612B1F">
      <w:pPr>
        <w:spacing w:after="0" w:line="240" w:lineRule="auto"/>
        <w:rPr>
          <w:rFonts w:ascii="Garamond" w:eastAsia="Times New Roman" w:hAnsi="Garamond" w:cs="Times New Roman"/>
          <w:i/>
          <w:iCs/>
          <w:sz w:val="26"/>
          <w:szCs w:val="26"/>
        </w:rPr>
      </w:pPr>
    </w:p>
    <w:p w14:paraId="1DC5B6C7"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All Saints’ Day, celebrated November 1 or the nearest Sunday afterward, is characterized by the Book of Common Prayer (BCP) as a Principal Feast, “taking precedence over any other day or observance” (</w:t>
      </w:r>
      <w:r w:rsidRPr="00612B1F">
        <w:rPr>
          <w:rFonts w:ascii="Garamond" w:hAnsi="Garamond"/>
          <w:iCs/>
          <w:sz w:val="26"/>
          <w:szCs w:val="26"/>
        </w:rPr>
        <w:t>BCP</w:t>
      </w:r>
      <w:r w:rsidRPr="00612B1F">
        <w:rPr>
          <w:rFonts w:ascii="Garamond" w:hAnsi="Garamond"/>
          <w:i/>
          <w:sz w:val="26"/>
          <w:szCs w:val="26"/>
        </w:rPr>
        <w:t>,</w:t>
      </w:r>
      <w:r w:rsidRPr="00612B1F">
        <w:rPr>
          <w:rFonts w:ascii="Garamond" w:hAnsi="Garamond"/>
          <w:sz w:val="26"/>
          <w:szCs w:val="26"/>
        </w:rPr>
        <w:t xml:space="preserve"> 15). The day is set aside to remember and commend the saints of God, especially those who are not recognized at other points in the church year. </w:t>
      </w:r>
    </w:p>
    <w:p w14:paraId="4501BD65"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6ECBA202"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According to Holy Women, Holy Men, in the tenth century, it became customary to recognize on a single day “that vast body of the faithful who, though no less members of the company of the redeemed, are unknown in the wider fellowship of the Church” (</w:t>
      </w:r>
      <w:r w:rsidRPr="00612B1F">
        <w:rPr>
          <w:rFonts w:ascii="Garamond" w:hAnsi="Garamond"/>
          <w:i/>
          <w:sz w:val="26"/>
          <w:szCs w:val="26"/>
        </w:rPr>
        <w:t>Holy Women, Holy Men</w:t>
      </w:r>
      <w:r w:rsidRPr="00612B1F">
        <w:rPr>
          <w:rFonts w:ascii="Garamond" w:hAnsi="Garamond"/>
          <w:sz w:val="26"/>
          <w:szCs w:val="26"/>
        </w:rPr>
        <w:t xml:space="preserve">, 664). Over time, the day became associated with special remembrances of an individual’s family and friends. </w:t>
      </w:r>
    </w:p>
    <w:p w14:paraId="15130A29"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16797BDF"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4D91DD99"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3FE27028"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Because of the day’s association with the remembrance for the dead, many churches publish a necrology. This reading of the names of the congregation’s faithful departed may include </w:t>
      </w:r>
    </w:p>
    <w:p w14:paraId="0997CDB6" w14:textId="77777777" w:rsidR="00612B1F" w:rsidRPr="00612B1F" w:rsidRDefault="00612B1F" w:rsidP="00612B1F">
      <w:pPr>
        <w:spacing w:after="0" w:line="240" w:lineRule="auto"/>
        <w:rPr>
          <w:rFonts w:ascii="Garamond" w:hAnsi="Garamond" w:cs="Times New Roman"/>
          <w:b/>
          <w:sz w:val="26"/>
          <w:szCs w:val="26"/>
        </w:rPr>
      </w:pPr>
      <w:r w:rsidRPr="00612B1F">
        <w:rPr>
          <w:rFonts w:ascii="Garamond" w:hAnsi="Garamond" w:cs="Times New Roman"/>
          <w:noProof/>
          <w:sz w:val="26"/>
          <w:szCs w:val="26"/>
        </w:rPr>
        <w:drawing>
          <wp:inline distT="0" distB="0" distL="0" distR="0" wp14:anchorId="7F74DD06" wp14:editId="41502D36">
            <wp:extent cx="1822479" cy="1297354"/>
            <wp:effectExtent l="0" t="0" r="0" b="0"/>
            <wp:docPr id="174228744" name="Picture 17422874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12B1F">
        <w:rPr>
          <w:rStyle w:val="eop"/>
          <w:rFonts w:ascii="Garamond" w:hAnsi="Garamond" w:cs="Segoe UI"/>
          <w:sz w:val="26"/>
          <w:szCs w:val="26"/>
        </w:rPr>
        <w:t xml:space="preserve"> </w:t>
      </w:r>
    </w:p>
    <w:p w14:paraId="1FBB870D" w14:textId="77777777" w:rsidR="00612B1F" w:rsidRPr="00612B1F" w:rsidRDefault="00612B1F" w:rsidP="00612B1F">
      <w:pPr>
        <w:pStyle w:val="paragraph"/>
        <w:spacing w:before="0" w:beforeAutospacing="0" w:after="0" w:afterAutospacing="0"/>
        <w:textAlignment w:val="baseline"/>
        <w:rPr>
          <w:rStyle w:val="eop"/>
          <w:rFonts w:ascii="Garamond" w:hAnsi="Garamond" w:cs="Segoe UI"/>
          <w:sz w:val="26"/>
          <w:szCs w:val="26"/>
        </w:rPr>
      </w:pPr>
      <w:r w:rsidRPr="00612B1F">
        <w:rPr>
          <w:rStyle w:val="eop"/>
          <w:rFonts w:ascii="Garamond" w:hAnsi="Garamond" w:cs="Segoe UI"/>
          <w:sz w:val="26"/>
          <w:szCs w:val="26"/>
        </w:rPr>
        <w:t xml:space="preserve"> </w:t>
      </w:r>
    </w:p>
    <w:p w14:paraId="7838BF95" w14:textId="77777777" w:rsidR="00612B1F" w:rsidRPr="00612B1F" w:rsidRDefault="00612B1F" w:rsidP="00612B1F">
      <w:pPr>
        <w:pStyle w:val="paragraph"/>
        <w:spacing w:before="0" w:beforeAutospacing="0" w:after="0" w:afterAutospacing="0"/>
        <w:textAlignment w:val="baseline"/>
        <w:rPr>
          <w:rFonts w:ascii="Garamond" w:eastAsia="Calibri" w:hAnsi="Garamond"/>
          <w:b/>
          <w:bCs/>
          <w:sz w:val="26"/>
          <w:szCs w:val="26"/>
        </w:rPr>
      </w:pPr>
      <w:r w:rsidRPr="00612B1F">
        <w:rPr>
          <w:rStyle w:val="eop"/>
          <w:rFonts w:ascii="Garamond" w:hAnsi="Garamond" w:cs="Segoe UI"/>
          <w:b/>
          <w:bCs/>
          <w:sz w:val="26"/>
          <w:szCs w:val="26"/>
        </w:rPr>
        <w:t>November 3, 2024</w:t>
      </w:r>
      <w:r w:rsidRPr="00612B1F">
        <w:rPr>
          <w:rFonts w:ascii="Garamond" w:eastAsia="Calibri" w:hAnsi="Garamond"/>
          <w:b/>
          <w:bCs/>
          <w:sz w:val="26"/>
          <w:szCs w:val="26"/>
        </w:rPr>
        <w:t xml:space="preserve"> – All Saints’ Day (B), tr.</w:t>
      </w:r>
    </w:p>
    <w:p w14:paraId="341AAA5F" w14:textId="77777777" w:rsidR="00612B1F" w:rsidRPr="00612B1F" w:rsidRDefault="00612B1F" w:rsidP="00612B1F">
      <w:pPr>
        <w:spacing w:after="0" w:line="240" w:lineRule="auto"/>
        <w:outlineLvl w:val="0"/>
        <w:rPr>
          <w:rFonts w:ascii="Garamond" w:hAnsi="Garamond" w:cs="Times New Roman"/>
          <w:b/>
          <w:bCs/>
          <w:sz w:val="26"/>
          <w:szCs w:val="26"/>
        </w:rPr>
      </w:pPr>
      <w:r w:rsidRPr="00612B1F">
        <w:rPr>
          <w:rFonts w:ascii="Garamond" w:hAnsi="Garamond" w:cs="Times New Roman"/>
          <w:b/>
          <w:bCs/>
          <w:sz w:val="26"/>
          <w:szCs w:val="26"/>
        </w:rPr>
        <w:t>All Saints’ Day</w:t>
      </w:r>
    </w:p>
    <w:p w14:paraId="7E06BFEC" w14:textId="77777777" w:rsidR="00612B1F" w:rsidRPr="00612B1F" w:rsidRDefault="00612B1F" w:rsidP="00612B1F">
      <w:pPr>
        <w:spacing w:after="0" w:line="240" w:lineRule="auto"/>
        <w:rPr>
          <w:rFonts w:ascii="Garamond" w:eastAsia="Times New Roman" w:hAnsi="Garamond" w:cs="Times New Roman"/>
          <w:i/>
          <w:iCs/>
          <w:sz w:val="26"/>
          <w:szCs w:val="26"/>
        </w:rPr>
      </w:pPr>
    </w:p>
    <w:p w14:paraId="63FDB087"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All Saints’ Day, celebrated November 1 or the nearest Sunday afterward, is characterized by the Book of Common Prayer (BCP) as a Principal Feast, “taking precedence over any other day or observance” (</w:t>
      </w:r>
      <w:r w:rsidRPr="00612B1F">
        <w:rPr>
          <w:rFonts w:ascii="Garamond" w:hAnsi="Garamond"/>
          <w:iCs/>
          <w:sz w:val="26"/>
          <w:szCs w:val="26"/>
        </w:rPr>
        <w:t>BCP</w:t>
      </w:r>
      <w:r w:rsidRPr="00612B1F">
        <w:rPr>
          <w:rFonts w:ascii="Garamond" w:hAnsi="Garamond"/>
          <w:i/>
          <w:sz w:val="26"/>
          <w:szCs w:val="26"/>
        </w:rPr>
        <w:t>,</w:t>
      </w:r>
      <w:r w:rsidRPr="00612B1F">
        <w:rPr>
          <w:rFonts w:ascii="Garamond" w:hAnsi="Garamond"/>
          <w:sz w:val="26"/>
          <w:szCs w:val="26"/>
        </w:rPr>
        <w:t xml:space="preserve"> 15). The day is set aside to remember and commend the saints of God, especially those who are not recognized at other points in the church year. </w:t>
      </w:r>
    </w:p>
    <w:p w14:paraId="166A052F"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7C55A341"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According to Holy Women, Holy Men, in the tenth century, it became customary to recognize on a single day “that vast body of the faithful who, though no less members of the company of the redeemed, are unknown in the wider fellowship of the Church” (</w:t>
      </w:r>
      <w:r w:rsidRPr="00612B1F">
        <w:rPr>
          <w:rFonts w:ascii="Garamond" w:hAnsi="Garamond"/>
          <w:i/>
          <w:sz w:val="26"/>
          <w:szCs w:val="26"/>
        </w:rPr>
        <w:t>Holy Women, Holy Men</w:t>
      </w:r>
      <w:r w:rsidRPr="00612B1F">
        <w:rPr>
          <w:rFonts w:ascii="Garamond" w:hAnsi="Garamond"/>
          <w:sz w:val="26"/>
          <w:szCs w:val="26"/>
        </w:rPr>
        <w:t xml:space="preserve">, 664). Over time, the day became associated with special remembrances of an individual’s family and friends. </w:t>
      </w:r>
    </w:p>
    <w:p w14:paraId="7C64E3E1"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458724E6"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6C9F76A0"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3C96C79E"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Because of the day’s association with the remembrance for the dead, many churches publish a necrology. This reading of the names of the congregation’s faithful departed may include </w:t>
      </w:r>
    </w:p>
    <w:p w14:paraId="24046499"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p>
    <w:p w14:paraId="645AB908"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p>
    <w:p w14:paraId="6FEF0A46" w14:textId="57940398"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prayers on their behalf. Such prayers are appropriate, as the Catechism reminds us, “because we still hold [our departed] in our love, and because we trust that in God’s presence those who have chosen to serve him will grow in his love, until they see him as he is” (</w:t>
      </w:r>
      <w:r w:rsidRPr="00612B1F">
        <w:rPr>
          <w:rFonts w:ascii="Garamond" w:hAnsi="Garamond"/>
          <w:iCs/>
          <w:sz w:val="26"/>
          <w:szCs w:val="26"/>
        </w:rPr>
        <w:t>BCP</w:t>
      </w:r>
      <w:r w:rsidRPr="00612B1F">
        <w:rPr>
          <w:rFonts w:ascii="Garamond" w:hAnsi="Garamond"/>
          <w:i/>
          <w:sz w:val="26"/>
          <w:szCs w:val="26"/>
        </w:rPr>
        <w:t>,</w:t>
      </w:r>
      <w:r w:rsidRPr="00612B1F">
        <w:rPr>
          <w:rFonts w:ascii="Garamond" w:hAnsi="Garamond"/>
          <w:sz w:val="26"/>
          <w:szCs w:val="26"/>
        </w:rPr>
        <w:t xml:space="preserve"> 862). </w:t>
      </w:r>
    </w:p>
    <w:p w14:paraId="406A1B83"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41AE42A3"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553F3D15"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76172E9C" w14:textId="77777777" w:rsidR="00612B1F" w:rsidRPr="00612B1F" w:rsidRDefault="00612B1F" w:rsidP="00612B1F">
      <w:pPr>
        <w:pStyle w:val="font8"/>
        <w:spacing w:before="0" w:beforeAutospacing="0" w:after="0" w:afterAutospacing="0" w:line="240" w:lineRule="auto"/>
        <w:jc w:val="center"/>
        <w:textAlignment w:val="baseline"/>
        <w:rPr>
          <w:rFonts w:ascii="Garamond" w:hAnsi="Garamond"/>
          <w:sz w:val="26"/>
          <w:szCs w:val="26"/>
        </w:rPr>
      </w:pPr>
      <w:r w:rsidRPr="00612B1F">
        <w:rPr>
          <w:rFonts w:ascii="Garamond" w:hAnsi="Garamond"/>
          <w:noProof/>
          <w:sz w:val="26"/>
          <w:szCs w:val="26"/>
        </w:rPr>
        <w:drawing>
          <wp:inline distT="0" distB="0" distL="0" distR="0" wp14:anchorId="050C7CCD" wp14:editId="7DC879E4">
            <wp:extent cx="4037443" cy="956732"/>
            <wp:effectExtent l="0" t="0" r="1270" b="0"/>
            <wp:docPr id="2" name="Picture 2"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180764" cy="990694"/>
                    </a:xfrm>
                    <a:prstGeom prst="rect">
                      <a:avLst/>
                    </a:prstGeom>
                    <a:ln>
                      <a:noFill/>
                    </a:ln>
                    <a:extLst>
                      <a:ext uri="{53640926-AAD7-44D8-BBD7-CCE9431645EC}">
                        <a14:shadowObscured xmlns:a14="http://schemas.microsoft.com/office/drawing/2010/main"/>
                      </a:ext>
                    </a:extLst>
                  </pic:spPr>
                </pic:pic>
              </a:graphicData>
            </a:graphic>
          </wp:inline>
        </w:drawing>
      </w:r>
    </w:p>
    <w:p w14:paraId="72640AA8" w14:textId="77777777" w:rsidR="00612B1F" w:rsidRPr="00612B1F" w:rsidRDefault="00612B1F" w:rsidP="00612B1F">
      <w:pPr>
        <w:pStyle w:val="font8"/>
        <w:spacing w:before="0" w:beforeAutospacing="0" w:after="0" w:afterAutospacing="0" w:line="240" w:lineRule="auto"/>
        <w:textAlignment w:val="baseline"/>
        <w:rPr>
          <w:rFonts w:ascii="Garamond" w:hAnsi="Garamond"/>
          <w:b/>
          <w:sz w:val="26"/>
          <w:szCs w:val="26"/>
        </w:rPr>
      </w:pPr>
    </w:p>
    <w:p w14:paraId="02F9D622" w14:textId="77777777" w:rsidR="00612B1F" w:rsidRPr="00612B1F" w:rsidRDefault="00612B1F" w:rsidP="00612B1F">
      <w:pPr>
        <w:pStyle w:val="font8"/>
        <w:spacing w:before="0" w:beforeAutospacing="0" w:after="0" w:afterAutospacing="0" w:line="240" w:lineRule="auto"/>
        <w:textAlignment w:val="baseline"/>
        <w:rPr>
          <w:rFonts w:ascii="Garamond" w:hAnsi="Garamond"/>
          <w:b/>
          <w:sz w:val="26"/>
          <w:szCs w:val="26"/>
        </w:rPr>
      </w:pPr>
      <w:r w:rsidRPr="00612B1F">
        <w:rPr>
          <w:rFonts w:ascii="Garamond" w:hAnsi="Garamond"/>
          <w:b/>
          <w:sz w:val="26"/>
          <w:szCs w:val="26"/>
        </w:rPr>
        <w:t>Collect for All Saints’ Day</w:t>
      </w:r>
    </w:p>
    <w:p w14:paraId="459876A5"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4BD05D53" w14:textId="77777777" w:rsidR="00102C10" w:rsidRDefault="00102C10" w:rsidP="00612B1F">
      <w:pPr>
        <w:pStyle w:val="paragraph"/>
        <w:spacing w:before="0" w:beforeAutospacing="0" w:after="0" w:afterAutospacing="0"/>
        <w:textAlignment w:val="baseline"/>
        <w:rPr>
          <w:rFonts w:ascii="Garamond" w:eastAsia="Calibri" w:hAnsi="Garamond"/>
          <w:sz w:val="26"/>
          <w:szCs w:val="26"/>
        </w:rPr>
      </w:pPr>
    </w:p>
    <w:p w14:paraId="0A52F310" w14:textId="77777777" w:rsidR="00612B1F" w:rsidRDefault="00612B1F" w:rsidP="00612B1F">
      <w:pPr>
        <w:pStyle w:val="paragraph"/>
        <w:spacing w:before="0" w:beforeAutospacing="0" w:after="0" w:afterAutospacing="0"/>
        <w:textAlignment w:val="baseline"/>
        <w:rPr>
          <w:rFonts w:ascii="Garamond" w:eastAsia="Calibri" w:hAnsi="Garamond"/>
          <w:sz w:val="26"/>
          <w:szCs w:val="26"/>
        </w:rPr>
      </w:pPr>
    </w:p>
    <w:p w14:paraId="5358E27A" w14:textId="77777777" w:rsidR="00612B1F" w:rsidRDefault="00612B1F" w:rsidP="00612B1F">
      <w:pPr>
        <w:pStyle w:val="paragraph"/>
        <w:spacing w:before="0" w:beforeAutospacing="0" w:after="0" w:afterAutospacing="0"/>
        <w:textAlignment w:val="baseline"/>
        <w:rPr>
          <w:rFonts w:ascii="Garamond" w:eastAsia="Calibri" w:hAnsi="Garamond"/>
          <w:sz w:val="26"/>
          <w:szCs w:val="26"/>
        </w:rPr>
      </w:pPr>
    </w:p>
    <w:p w14:paraId="63DB3B74"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p>
    <w:p w14:paraId="6C84BA1D" w14:textId="77777777" w:rsidR="00612B1F" w:rsidRDefault="00612B1F" w:rsidP="00612B1F">
      <w:pPr>
        <w:pStyle w:val="font8"/>
        <w:spacing w:before="0" w:beforeAutospacing="0" w:after="0" w:afterAutospacing="0" w:line="240" w:lineRule="auto"/>
        <w:textAlignment w:val="baseline"/>
        <w:rPr>
          <w:rFonts w:ascii="Garamond" w:hAnsi="Garamond"/>
          <w:sz w:val="26"/>
          <w:szCs w:val="26"/>
        </w:rPr>
      </w:pPr>
    </w:p>
    <w:p w14:paraId="3AE4D6BB"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prayers on their behalf. Such prayers are appropriate, as the Catechism reminds us, “because we still hold [our departed] in our love, and because we trust that in God’s presence those who have chosen to serve him will grow in his love, until they see him as he is” (</w:t>
      </w:r>
      <w:r w:rsidRPr="00612B1F">
        <w:rPr>
          <w:rFonts w:ascii="Garamond" w:hAnsi="Garamond"/>
          <w:iCs/>
          <w:sz w:val="26"/>
          <w:szCs w:val="26"/>
        </w:rPr>
        <w:t>BCP</w:t>
      </w:r>
      <w:r w:rsidRPr="00612B1F">
        <w:rPr>
          <w:rFonts w:ascii="Garamond" w:hAnsi="Garamond"/>
          <w:i/>
          <w:sz w:val="26"/>
          <w:szCs w:val="26"/>
        </w:rPr>
        <w:t>,</w:t>
      </w:r>
      <w:r w:rsidRPr="00612B1F">
        <w:rPr>
          <w:rFonts w:ascii="Garamond" w:hAnsi="Garamond"/>
          <w:sz w:val="26"/>
          <w:szCs w:val="26"/>
        </w:rPr>
        <w:t xml:space="preserve"> 862). </w:t>
      </w:r>
    </w:p>
    <w:p w14:paraId="780EA8DC"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6570F376"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3938D327"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p>
    <w:p w14:paraId="54095E7A" w14:textId="77777777" w:rsidR="00612B1F" w:rsidRPr="00612B1F" w:rsidRDefault="00612B1F" w:rsidP="00612B1F">
      <w:pPr>
        <w:pStyle w:val="font8"/>
        <w:spacing w:before="0" w:beforeAutospacing="0" w:after="0" w:afterAutospacing="0" w:line="240" w:lineRule="auto"/>
        <w:jc w:val="center"/>
        <w:textAlignment w:val="baseline"/>
        <w:rPr>
          <w:rFonts w:ascii="Garamond" w:hAnsi="Garamond"/>
          <w:sz w:val="26"/>
          <w:szCs w:val="26"/>
        </w:rPr>
      </w:pPr>
      <w:r w:rsidRPr="00612B1F">
        <w:rPr>
          <w:rFonts w:ascii="Garamond" w:hAnsi="Garamond"/>
          <w:noProof/>
          <w:sz w:val="26"/>
          <w:szCs w:val="26"/>
        </w:rPr>
        <w:drawing>
          <wp:inline distT="0" distB="0" distL="0" distR="0" wp14:anchorId="33E33145" wp14:editId="2DE5E807">
            <wp:extent cx="4037443" cy="956732"/>
            <wp:effectExtent l="0" t="0" r="1270" b="0"/>
            <wp:docPr id="483370335" name="Picture 483370335"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180764" cy="990694"/>
                    </a:xfrm>
                    <a:prstGeom prst="rect">
                      <a:avLst/>
                    </a:prstGeom>
                    <a:ln>
                      <a:noFill/>
                    </a:ln>
                    <a:extLst>
                      <a:ext uri="{53640926-AAD7-44D8-BBD7-CCE9431645EC}">
                        <a14:shadowObscured xmlns:a14="http://schemas.microsoft.com/office/drawing/2010/main"/>
                      </a:ext>
                    </a:extLst>
                  </pic:spPr>
                </pic:pic>
              </a:graphicData>
            </a:graphic>
          </wp:inline>
        </w:drawing>
      </w:r>
    </w:p>
    <w:p w14:paraId="067A49F6" w14:textId="77777777" w:rsidR="00612B1F" w:rsidRPr="00612B1F" w:rsidRDefault="00612B1F" w:rsidP="00612B1F">
      <w:pPr>
        <w:pStyle w:val="font8"/>
        <w:spacing w:before="0" w:beforeAutospacing="0" w:after="0" w:afterAutospacing="0" w:line="240" w:lineRule="auto"/>
        <w:textAlignment w:val="baseline"/>
        <w:rPr>
          <w:rFonts w:ascii="Garamond" w:hAnsi="Garamond"/>
          <w:b/>
          <w:sz w:val="26"/>
          <w:szCs w:val="26"/>
        </w:rPr>
      </w:pPr>
    </w:p>
    <w:p w14:paraId="1C741B77" w14:textId="77777777" w:rsidR="00612B1F" w:rsidRPr="00612B1F" w:rsidRDefault="00612B1F" w:rsidP="00612B1F">
      <w:pPr>
        <w:pStyle w:val="font8"/>
        <w:spacing w:before="0" w:beforeAutospacing="0" w:after="0" w:afterAutospacing="0" w:line="240" w:lineRule="auto"/>
        <w:textAlignment w:val="baseline"/>
        <w:rPr>
          <w:rFonts w:ascii="Garamond" w:hAnsi="Garamond"/>
          <w:b/>
          <w:sz w:val="26"/>
          <w:szCs w:val="26"/>
        </w:rPr>
      </w:pPr>
      <w:r w:rsidRPr="00612B1F">
        <w:rPr>
          <w:rFonts w:ascii="Garamond" w:hAnsi="Garamond"/>
          <w:b/>
          <w:sz w:val="26"/>
          <w:szCs w:val="26"/>
        </w:rPr>
        <w:t>Collect for All Saints’ Day</w:t>
      </w:r>
    </w:p>
    <w:p w14:paraId="2D4E6771" w14:textId="77777777" w:rsidR="00612B1F" w:rsidRPr="00612B1F" w:rsidRDefault="00612B1F" w:rsidP="00612B1F">
      <w:pPr>
        <w:pStyle w:val="font8"/>
        <w:spacing w:before="0" w:beforeAutospacing="0" w:after="0" w:afterAutospacing="0" w:line="240" w:lineRule="auto"/>
        <w:textAlignment w:val="baseline"/>
        <w:rPr>
          <w:rFonts w:ascii="Garamond" w:hAnsi="Garamond"/>
          <w:sz w:val="26"/>
          <w:szCs w:val="26"/>
        </w:rPr>
      </w:pPr>
      <w:r w:rsidRPr="00612B1F">
        <w:rPr>
          <w:rFonts w:ascii="Garamond" w:hAnsi="Garamond"/>
          <w:sz w:val="26"/>
          <w:szCs w:val="26"/>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41B8A693" w14:textId="77777777" w:rsidR="00612B1F" w:rsidRPr="00612B1F" w:rsidRDefault="00612B1F" w:rsidP="00612B1F">
      <w:pPr>
        <w:pStyle w:val="paragraph"/>
        <w:spacing w:before="0" w:beforeAutospacing="0" w:after="0" w:afterAutospacing="0"/>
        <w:textAlignment w:val="baseline"/>
        <w:rPr>
          <w:rFonts w:ascii="Garamond" w:eastAsia="Calibri" w:hAnsi="Garamond"/>
          <w:sz w:val="26"/>
          <w:szCs w:val="26"/>
        </w:rPr>
      </w:pPr>
    </w:p>
    <w:sectPr w:rsidR="00612B1F" w:rsidRPr="00612B1F" w:rsidSect="00153F8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25F63" w14:textId="77777777" w:rsidR="00273A98" w:rsidRDefault="00273A98" w:rsidP="005040FC">
      <w:r>
        <w:separator/>
      </w:r>
    </w:p>
  </w:endnote>
  <w:endnote w:type="continuationSeparator" w:id="0">
    <w:p w14:paraId="7A2FAADB" w14:textId="77777777" w:rsidR="00273A98" w:rsidRDefault="00273A9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5BC54" w14:textId="77777777" w:rsidR="00273A98" w:rsidRDefault="00273A98" w:rsidP="005040FC">
      <w:r>
        <w:separator/>
      </w:r>
    </w:p>
  </w:footnote>
  <w:footnote w:type="continuationSeparator" w:id="0">
    <w:p w14:paraId="7FD1D674" w14:textId="77777777" w:rsidR="00273A98" w:rsidRDefault="00273A9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2C10"/>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62EDD"/>
    <w:rsid w:val="00273A98"/>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406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2B1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61654"/>
    <w:rsid w:val="00D70FCF"/>
    <w:rsid w:val="00D72F26"/>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1EA4"/>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2024-07-24T15:53:00Z</cp:lastPrinted>
  <dcterms:created xsi:type="dcterms:W3CDTF">2024-07-24T15:53:00Z</dcterms:created>
  <dcterms:modified xsi:type="dcterms:W3CDTF">2024-10-13T19:50:00Z</dcterms:modified>
</cp:coreProperties>
</file>