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E97B" w14:textId="77777777" w:rsidR="003929D1" w:rsidRPr="00714534" w:rsidRDefault="003929D1" w:rsidP="00313AB8">
      <w:pPr>
        <w:ind w:right="720"/>
        <w:rPr>
          <w:rFonts w:ascii="Garamond" w:hAnsi="Garamond"/>
          <w:sz w:val="26"/>
          <w:szCs w:val="26"/>
        </w:rPr>
      </w:pPr>
      <w:r w:rsidRPr="00714534">
        <w:rPr>
          <w:rFonts w:ascii="Garamond" w:hAnsi="Garamond"/>
          <w:noProof/>
          <w:sz w:val="26"/>
          <w:szCs w:val="26"/>
        </w:rPr>
        <w:drawing>
          <wp:inline distT="0" distB="0" distL="0" distR="0" wp14:anchorId="795AC7FB" wp14:editId="2AB6E910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E44E" w14:textId="77777777" w:rsidR="003929D1" w:rsidRPr="00714534" w:rsidRDefault="003929D1" w:rsidP="00313AB8">
      <w:pPr>
        <w:ind w:right="720"/>
        <w:rPr>
          <w:rFonts w:ascii="Garamond" w:hAnsi="Garamond"/>
          <w:sz w:val="26"/>
          <w:szCs w:val="26"/>
        </w:rPr>
      </w:pPr>
    </w:p>
    <w:p w14:paraId="575C0058" w14:textId="77777777" w:rsidR="00FF5E90" w:rsidRPr="00FF5E90" w:rsidRDefault="00FF5E90" w:rsidP="00313AB8">
      <w:pPr>
        <w:rPr>
          <w:rFonts w:ascii="Garamond" w:hAnsi="Garamond"/>
          <w:b/>
          <w:sz w:val="26"/>
          <w:szCs w:val="26"/>
        </w:rPr>
      </w:pPr>
      <w:r w:rsidRPr="00FF5E90">
        <w:rPr>
          <w:rFonts w:ascii="Garamond" w:hAnsi="Garamond"/>
          <w:b/>
          <w:sz w:val="26"/>
          <w:szCs w:val="26"/>
        </w:rPr>
        <w:t>The Last Sunday after the Epiphany, Year A</w:t>
      </w:r>
    </w:p>
    <w:p w14:paraId="7608189B" w14:textId="545BF1A5" w:rsidR="003929D1" w:rsidRPr="00AB530C" w:rsidRDefault="00FF5E90" w:rsidP="00313AB8">
      <w:pPr>
        <w:pStyle w:val="Body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February 15</w:t>
      </w:r>
      <w:r w:rsidR="003929D1" w:rsidRPr="00AB530C">
        <w:rPr>
          <w:rFonts w:ascii="Garamond" w:hAnsi="Garamond"/>
          <w:b/>
          <w:bCs/>
          <w:sz w:val="26"/>
          <w:szCs w:val="26"/>
        </w:rPr>
        <w:t>, 2026</w:t>
      </w:r>
    </w:p>
    <w:p w14:paraId="2FA4E626" w14:textId="77777777" w:rsidR="003929D1" w:rsidRPr="00714534" w:rsidRDefault="003929D1" w:rsidP="00313AB8">
      <w:pPr>
        <w:pStyle w:val="Body"/>
        <w:rPr>
          <w:rFonts w:ascii="Garamond" w:hAnsi="Garamond"/>
          <w:sz w:val="26"/>
          <w:szCs w:val="26"/>
        </w:rPr>
      </w:pPr>
    </w:p>
    <w:p w14:paraId="641E1299" w14:textId="77777777" w:rsidR="003929D1" w:rsidRPr="00714534" w:rsidRDefault="003929D1" w:rsidP="00313AB8">
      <w:pPr>
        <w:pStyle w:val="Body"/>
        <w:rPr>
          <w:rFonts w:ascii="Garamond" w:hAnsi="Garamond"/>
          <w:sz w:val="26"/>
          <w:szCs w:val="26"/>
        </w:rPr>
      </w:pPr>
    </w:p>
    <w:p w14:paraId="07A59EB5" w14:textId="0A7D2AB9" w:rsidR="003929D1" w:rsidRPr="00714534" w:rsidRDefault="003929D1" w:rsidP="00313AB8">
      <w:pPr>
        <w:pStyle w:val="Body"/>
        <w:rPr>
          <w:rFonts w:ascii="Garamond" w:hAnsi="Garamond"/>
          <w:b/>
          <w:bCs/>
          <w:sz w:val="26"/>
          <w:szCs w:val="26"/>
        </w:rPr>
      </w:pPr>
      <w:r w:rsidRPr="00714534">
        <w:rPr>
          <w:rFonts w:ascii="Garamond" w:hAnsi="Garamond"/>
          <w:b/>
          <w:bCs/>
          <w:sz w:val="26"/>
          <w:szCs w:val="26"/>
        </w:rPr>
        <w:t>RCL:</w:t>
      </w:r>
      <w:r w:rsidRPr="00714534">
        <w:rPr>
          <w:rFonts w:ascii="Garamond" w:hAnsi="Garamond"/>
          <w:sz w:val="26"/>
          <w:szCs w:val="26"/>
        </w:rPr>
        <w:t xml:space="preserve"> </w:t>
      </w:r>
      <w:r w:rsidR="003716BB" w:rsidRPr="003716BB">
        <w:rPr>
          <w:rFonts w:ascii="Garamond" w:hAnsi="Garamond"/>
          <w:sz w:val="26"/>
          <w:szCs w:val="26"/>
        </w:rPr>
        <w:t xml:space="preserve">Exodus 24:12-18; </w:t>
      </w:r>
      <w:r w:rsidR="003716BB" w:rsidRPr="003716BB">
        <w:rPr>
          <w:rFonts w:ascii="Garamond" w:hAnsi="Garamond"/>
          <w:b/>
          <w:bCs/>
          <w:sz w:val="26"/>
          <w:szCs w:val="26"/>
        </w:rPr>
        <w:t>2 Peter 1:16-21</w:t>
      </w:r>
      <w:r w:rsidR="003716BB" w:rsidRPr="003716BB">
        <w:rPr>
          <w:rFonts w:ascii="Garamond" w:hAnsi="Garamond"/>
          <w:sz w:val="26"/>
          <w:szCs w:val="26"/>
        </w:rPr>
        <w:t>; Psalm 2; Matthew 17:1-9</w:t>
      </w:r>
    </w:p>
    <w:p w14:paraId="5FF2EBD5" w14:textId="77777777" w:rsidR="00FF5E90" w:rsidRDefault="00FF5E90" w:rsidP="00313AB8">
      <w:pPr>
        <w:rPr>
          <w:rFonts w:ascii="Garamond" w:hAnsi="Garamond"/>
          <w:b/>
          <w:sz w:val="26"/>
          <w:szCs w:val="26"/>
        </w:rPr>
      </w:pPr>
    </w:p>
    <w:p w14:paraId="7AC2C7AA" w14:textId="77777777" w:rsidR="00FF5E90" w:rsidRPr="00FF5E90" w:rsidRDefault="00FF5E90" w:rsidP="00313AB8">
      <w:pPr>
        <w:rPr>
          <w:rFonts w:ascii="Garamond" w:hAnsi="Garamond"/>
          <w:b/>
          <w:sz w:val="26"/>
          <w:szCs w:val="26"/>
        </w:rPr>
      </w:pPr>
    </w:p>
    <w:p w14:paraId="68024EBC" w14:textId="61F5E0BD" w:rsidR="00FF5E90" w:rsidRDefault="00FF5E90" w:rsidP="00313AB8">
      <w:pPr>
        <w:rPr>
          <w:rFonts w:ascii="Garamond" w:hAnsi="Garamond"/>
          <w:b/>
          <w:bCs/>
          <w:sz w:val="26"/>
          <w:szCs w:val="26"/>
        </w:rPr>
      </w:pPr>
      <w:r w:rsidRPr="00FF5E90">
        <w:rPr>
          <w:rFonts w:ascii="Garamond" w:hAnsi="Garamond"/>
          <w:b/>
          <w:bCs/>
          <w:sz w:val="26"/>
          <w:szCs w:val="26"/>
        </w:rPr>
        <w:t>Opening Prayer</w:t>
      </w:r>
      <w:r>
        <w:rPr>
          <w:rFonts w:ascii="Garamond" w:hAnsi="Garamond"/>
          <w:b/>
          <w:bCs/>
          <w:sz w:val="26"/>
          <w:szCs w:val="26"/>
        </w:rPr>
        <w:t xml:space="preserve"> | </w:t>
      </w:r>
    </w:p>
    <w:p w14:paraId="7329211D" w14:textId="77777777" w:rsidR="003716BB" w:rsidRPr="00FF5E90" w:rsidRDefault="003716BB" w:rsidP="00313AB8">
      <w:pPr>
        <w:rPr>
          <w:rFonts w:ascii="Garamond" w:hAnsi="Garamond"/>
          <w:b/>
          <w:sz w:val="26"/>
          <w:szCs w:val="26"/>
        </w:rPr>
      </w:pPr>
    </w:p>
    <w:p w14:paraId="3B937A55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O God, who before the passion of your only begotten Son revealed his glory upon the holy</w:t>
      </w:r>
    </w:p>
    <w:p w14:paraId="23C8E845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mountain: Grant to us that we, beholding by faith the light of his countenance, may be</w:t>
      </w:r>
    </w:p>
    <w:p w14:paraId="6D836D4A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strengthened to bear our cross, and be changed into his likeness from glory to glory; through</w:t>
      </w:r>
    </w:p>
    <w:p w14:paraId="6604A1FF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 xml:space="preserve">Jesus Christ our Lord, who lives and reigns with you and the Holy Spirit, one God, </w:t>
      </w:r>
      <w:proofErr w:type="spellStart"/>
      <w:r w:rsidRPr="00FF5E90">
        <w:rPr>
          <w:rFonts w:ascii="Garamond" w:hAnsi="Garamond"/>
          <w:bCs/>
          <w:sz w:val="26"/>
          <w:szCs w:val="26"/>
        </w:rPr>
        <w:t>for ever</w:t>
      </w:r>
      <w:proofErr w:type="spellEnd"/>
      <w:r w:rsidRPr="00FF5E90">
        <w:rPr>
          <w:rFonts w:ascii="Garamond" w:hAnsi="Garamond"/>
          <w:bCs/>
          <w:sz w:val="26"/>
          <w:szCs w:val="26"/>
        </w:rPr>
        <w:t xml:space="preserve"> and</w:t>
      </w:r>
    </w:p>
    <w:p w14:paraId="5AC7A60D" w14:textId="77777777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ever. Amen.</w:t>
      </w:r>
    </w:p>
    <w:p w14:paraId="59739239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383A2893" w14:textId="0B20D375" w:rsidR="00FF5E90" w:rsidRDefault="00FF5E90" w:rsidP="00313AB8">
      <w:pPr>
        <w:rPr>
          <w:rFonts w:ascii="Garamond" w:hAnsi="Garamond"/>
          <w:b/>
          <w:bCs/>
          <w:sz w:val="26"/>
          <w:szCs w:val="26"/>
        </w:rPr>
      </w:pPr>
      <w:r w:rsidRPr="00FF5E90">
        <w:rPr>
          <w:rFonts w:ascii="Garamond" w:hAnsi="Garamond"/>
          <w:b/>
          <w:bCs/>
          <w:sz w:val="26"/>
          <w:szCs w:val="26"/>
        </w:rPr>
        <w:t>Context</w:t>
      </w:r>
      <w:r>
        <w:rPr>
          <w:rFonts w:ascii="Garamond" w:hAnsi="Garamond"/>
          <w:b/>
          <w:bCs/>
          <w:sz w:val="26"/>
          <w:szCs w:val="26"/>
        </w:rPr>
        <w:t xml:space="preserve"> | </w:t>
      </w:r>
    </w:p>
    <w:p w14:paraId="3260FD7C" w14:textId="77777777" w:rsidR="006D1A2B" w:rsidRPr="00FF5E90" w:rsidRDefault="006D1A2B" w:rsidP="00313AB8">
      <w:pPr>
        <w:rPr>
          <w:rFonts w:ascii="Garamond" w:hAnsi="Garamond"/>
          <w:b/>
          <w:sz w:val="26"/>
          <w:szCs w:val="26"/>
        </w:rPr>
      </w:pPr>
    </w:p>
    <w:p w14:paraId="617ED654" w14:textId="64DD7E09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In modern usage, a “last will and testament” is a legal document that provides instructions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concerning a person’s final wishes following their death. It concerns one’s legacy and what that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person wants to leave behind.</w:t>
      </w:r>
    </w:p>
    <w:p w14:paraId="0EB3AB47" w14:textId="77777777" w:rsidR="006D1A2B" w:rsidRPr="00FF5E90" w:rsidRDefault="006D1A2B" w:rsidP="00313AB8">
      <w:pPr>
        <w:rPr>
          <w:rFonts w:ascii="Garamond" w:hAnsi="Garamond"/>
          <w:bCs/>
          <w:sz w:val="26"/>
          <w:szCs w:val="26"/>
        </w:rPr>
      </w:pPr>
    </w:p>
    <w:p w14:paraId="48EAD52E" w14:textId="2C4E03CB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2 Peter is a similar type of writing. This epistle is an example of the ancient Jewish literary genre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of testament. 2 Peter is a testament in letter form. A testament, in this sense, is also concerned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with one’s legacy and final wishes. This genre of writing was a leader’s way of saying farewell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to their followers when death loomed (2 Pet 1:14). It usually includes reminders of their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teaching, ethical advice, warnings, and, perhaps, predictions for the future.</w:t>
      </w:r>
    </w:p>
    <w:p w14:paraId="000A4C49" w14:textId="77777777" w:rsidR="006D1A2B" w:rsidRPr="00FF5E90" w:rsidRDefault="006D1A2B" w:rsidP="00313AB8">
      <w:pPr>
        <w:rPr>
          <w:rFonts w:ascii="Garamond" w:hAnsi="Garamond"/>
          <w:bCs/>
          <w:sz w:val="26"/>
          <w:szCs w:val="26"/>
        </w:rPr>
      </w:pPr>
    </w:p>
    <w:p w14:paraId="50CA9B19" w14:textId="6F1C29D9" w:rsidR="006D1A2B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Testaments were typically not written by the leader in question</w:t>
      </w:r>
      <w:r w:rsidR="006D1A2B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but by someone else writing in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their name, perhaps one of their followers. 2 Peter is no exception. Most New Testament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 xml:space="preserve">scholars, as far back as the third century, do not think the apostle Peter </w:t>
      </w:r>
      <w:proofErr w:type="gramStart"/>
      <w:r w:rsidRPr="00FF5E90">
        <w:rPr>
          <w:rFonts w:ascii="Garamond" w:hAnsi="Garamond"/>
          <w:bCs/>
          <w:sz w:val="26"/>
          <w:szCs w:val="26"/>
        </w:rPr>
        <w:t>actually wrote</w:t>
      </w:r>
      <w:proofErr w:type="gramEnd"/>
      <w:r w:rsidRPr="00FF5E90">
        <w:rPr>
          <w:rFonts w:ascii="Garamond" w:hAnsi="Garamond"/>
          <w:bCs/>
          <w:sz w:val="26"/>
          <w:szCs w:val="26"/>
        </w:rPr>
        <w:t xml:space="preserve"> 2 Peter.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 xml:space="preserve">Several factors lead to this conclusion but the likely date of when this epistle was written is key. </w:t>
      </w:r>
    </w:p>
    <w:p w14:paraId="1312CED4" w14:textId="77777777" w:rsidR="006D1A2B" w:rsidRDefault="006D1A2B" w:rsidP="00313AB8">
      <w:pPr>
        <w:rPr>
          <w:rFonts w:ascii="Garamond" w:hAnsi="Garamond"/>
          <w:bCs/>
          <w:sz w:val="26"/>
          <w:szCs w:val="26"/>
        </w:rPr>
      </w:pPr>
    </w:p>
    <w:p w14:paraId="0C43B924" w14:textId="77777777" w:rsidR="007A1B8A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Peter 3:16 mentions “all” of Paul’s letters being misunderstood in the same way as “other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scriptures.” This implies not only that Paul’s writings are complete</w:t>
      </w:r>
      <w:r w:rsidR="006D1A2B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but that they are regarded as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scripture. This did not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occur until the second century</w:t>
      </w:r>
      <w:r w:rsidR="006D1A2B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</w:t>
      </w:r>
      <w:r w:rsidR="006D1A2B">
        <w:rPr>
          <w:rFonts w:ascii="Garamond" w:hAnsi="Garamond"/>
          <w:bCs/>
          <w:sz w:val="26"/>
          <w:szCs w:val="26"/>
        </w:rPr>
        <w:t>though</w:t>
      </w:r>
      <w:r w:rsidRPr="00FF5E90">
        <w:rPr>
          <w:rFonts w:ascii="Garamond" w:hAnsi="Garamond"/>
          <w:bCs/>
          <w:sz w:val="26"/>
          <w:szCs w:val="26"/>
        </w:rPr>
        <w:t xml:space="preserve"> Peter and Paul both died in the mid-60s.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The epistle also borrows heavily from Jude. This puts 2 Peter as probably the last New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Testament text to be written, likely in the early to mid</w:t>
      </w:r>
      <w:r w:rsidR="006D1A2B">
        <w:rPr>
          <w:rFonts w:ascii="Garamond" w:hAnsi="Garamond"/>
          <w:bCs/>
          <w:sz w:val="26"/>
          <w:szCs w:val="26"/>
        </w:rPr>
        <w:t>-</w:t>
      </w:r>
      <w:r w:rsidRPr="00FF5E90">
        <w:rPr>
          <w:rFonts w:ascii="Garamond" w:hAnsi="Garamond"/>
          <w:bCs/>
          <w:sz w:val="26"/>
          <w:szCs w:val="26"/>
        </w:rPr>
        <w:t>second century or possibly late first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century.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</w:p>
    <w:p w14:paraId="47E9538D" w14:textId="77777777" w:rsidR="007A1B8A" w:rsidRDefault="007A1B8A" w:rsidP="00313AB8">
      <w:pPr>
        <w:rPr>
          <w:rFonts w:ascii="Garamond" w:hAnsi="Garamond"/>
          <w:bCs/>
          <w:sz w:val="26"/>
          <w:szCs w:val="26"/>
        </w:rPr>
      </w:pPr>
    </w:p>
    <w:p w14:paraId="45453832" w14:textId="6A129AE5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lastRenderedPageBreak/>
        <w:t>Someone writing in Peter’s name fits the testament genre. The writer frequently employs the first</w:t>
      </w:r>
      <w:r w:rsidR="006D1A2B">
        <w:rPr>
          <w:rFonts w:ascii="Garamond" w:hAnsi="Garamond"/>
          <w:bCs/>
          <w:sz w:val="26"/>
          <w:szCs w:val="26"/>
        </w:rPr>
        <w:t>-</w:t>
      </w:r>
      <w:r w:rsidRPr="00FF5E90">
        <w:rPr>
          <w:rFonts w:ascii="Garamond" w:hAnsi="Garamond"/>
          <w:bCs/>
          <w:sz w:val="26"/>
          <w:szCs w:val="26"/>
        </w:rPr>
        <w:t>person plural</w:t>
      </w:r>
      <w:r w:rsidR="007A1B8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indicating a likely role as representative of an apostolic group. The writer may have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been a part of a group that was closely linked to Peter and his teachings.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The later date of this epistle also contributes to the problem it addresses: the need for faithful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endurance in Christian living while awaiting Christ’s return. The earliest generations of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Christians, including Peter, were dying</w:t>
      </w:r>
      <w:r w:rsidR="007A1B8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but Jesus had yet to come back. This led to “false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teachers” (2:1) saying that Jesus would not return</w:t>
      </w:r>
      <w:r w:rsidR="007A1B8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and therefore moral, faithful living did not</w:t>
      </w:r>
      <w:r w:rsidR="006D1A2B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really matter.</w:t>
      </w:r>
    </w:p>
    <w:p w14:paraId="1C5D95FD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0B89B613" w14:textId="3DE77DCA" w:rsidR="00FF5E90" w:rsidRDefault="00FF5E90" w:rsidP="00313AB8">
      <w:pPr>
        <w:rPr>
          <w:rFonts w:ascii="Garamond" w:hAnsi="Garamond"/>
          <w:b/>
          <w:bCs/>
          <w:sz w:val="26"/>
          <w:szCs w:val="26"/>
        </w:rPr>
      </w:pPr>
      <w:r w:rsidRPr="00FF5E90">
        <w:rPr>
          <w:rFonts w:ascii="Garamond" w:hAnsi="Garamond"/>
          <w:b/>
          <w:bCs/>
          <w:sz w:val="26"/>
          <w:szCs w:val="26"/>
        </w:rPr>
        <w:t>Theological Reflection</w:t>
      </w:r>
      <w:r>
        <w:rPr>
          <w:rFonts w:ascii="Garamond" w:hAnsi="Garamond"/>
          <w:b/>
          <w:bCs/>
          <w:sz w:val="26"/>
          <w:szCs w:val="26"/>
        </w:rPr>
        <w:t xml:space="preserve"> | </w:t>
      </w:r>
    </w:p>
    <w:p w14:paraId="22BD62E7" w14:textId="77777777" w:rsidR="00FF5E90" w:rsidRPr="00FF5E90" w:rsidRDefault="00FF5E90" w:rsidP="00313AB8">
      <w:pPr>
        <w:rPr>
          <w:rFonts w:ascii="Garamond" w:hAnsi="Garamond"/>
          <w:b/>
          <w:sz w:val="26"/>
          <w:szCs w:val="26"/>
        </w:rPr>
      </w:pPr>
    </w:p>
    <w:p w14:paraId="4956D40B" w14:textId="18B63F26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 xml:space="preserve">Today’s reading comes </w:t>
      </w:r>
      <w:r w:rsidR="003D4B66">
        <w:rPr>
          <w:rFonts w:ascii="Garamond" w:hAnsi="Garamond"/>
          <w:bCs/>
          <w:sz w:val="26"/>
          <w:szCs w:val="26"/>
        </w:rPr>
        <w:t xml:space="preserve">from </w:t>
      </w:r>
      <w:r w:rsidRPr="00FF5E90">
        <w:rPr>
          <w:rFonts w:ascii="Garamond" w:hAnsi="Garamond"/>
          <w:bCs/>
          <w:sz w:val="26"/>
          <w:szCs w:val="26"/>
        </w:rPr>
        <w:t>early in the writer’s argument against these false teachers. The writer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rejects the notion that Christ’s return is a “cleverly devised [myth]” (v. 16) and states two ways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that the community can be assured of this.</w:t>
      </w:r>
    </w:p>
    <w:p w14:paraId="21B4CD28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3301A343" w14:textId="0133F9FA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First, Peter, James, and John were “eyewitnesses of [Christ’s] majesty” (v. 16). The writer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recounts Peter’s witnessing of Jesus’ Transfiguration on the mountain and hearing God the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 xml:space="preserve">Father </w:t>
      </w:r>
      <w:proofErr w:type="gramStart"/>
      <w:r w:rsidRPr="00FF5E90">
        <w:rPr>
          <w:rFonts w:ascii="Garamond" w:hAnsi="Garamond"/>
          <w:bCs/>
          <w:sz w:val="26"/>
          <w:szCs w:val="26"/>
        </w:rPr>
        <w:t>say</w:t>
      </w:r>
      <w:proofErr w:type="gramEnd"/>
      <w:r w:rsidR="001A5C2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“This is my Son, my Beloved, with whom I am well pleased” (v. 17). This event is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told in today’s Gospel reading, Matthew 17:1-9 (cf. Mark 9:2-8, Luke 9:28-36).</w:t>
      </w:r>
    </w:p>
    <w:p w14:paraId="27BC37B7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387D69B2" w14:textId="29CFCCDE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“Majesty,” “honor and glory,” and “Majestic Glory” as well as the proclamation from “God the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Father” (vv. 16-17) all emphasize Jesus’ status as God’s Messiah who will save humanity and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ultimately rule the “new heavens and a new earth” (2 Pet 3:13). “Glory” is often used in the New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Testament in association with Christ’s Second Coming (e.g. Mark 8:38, 13:26, Luke 21:27)</w:t>
      </w:r>
      <w:r w:rsidR="001A5C2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and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these descriptions are also linked with the Transfiguration account (Matt 16:27 precedes today’s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Gospel reading). The Transfiguration marks an inbreaking of Christ’s full glory in the physical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world now</w:t>
      </w:r>
      <w:r w:rsidR="001A5C2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and the writer views this as a preview of the glory of Christ at his Second Coming.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The argument for Jesus’ return is rooted in the lived experience of Peter and the other apostles.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This was not something they “cleverly devised</w:t>
      </w:r>
      <w:r w:rsidR="001A5C2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>” but something they witnessed firsthand (v. 16).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The false teachers the writer warns about deny the reality of Christ’s Second Coming, but Peter’s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eyewitness of the Transfiguration establishes the trustworthiness of Jesus’ return.</w:t>
      </w:r>
    </w:p>
    <w:p w14:paraId="48E23050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23A49511" w14:textId="10B15BDB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 xml:space="preserve">But it is not only </w:t>
      </w:r>
      <w:proofErr w:type="gramStart"/>
      <w:r w:rsidRPr="00FF5E90">
        <w:rPr>
          <w:rFonts w:ascii="Garamond" w:hAnsi="Garamond"/>
          <w:bCs/>
          <w:sz w:val="26"/>
          <w:szCs w:val="26"/>
        </w:rPr>
        <w:t>experience</w:t>
      </w:r>
      <w:proofErr w:type="gramEnd"/>
      <w:r w:rsidRPr="00FF5E90">
        <w:rPr>
          <w:rFonts w:ascii="Garamond" w:hAnsi="Garamond"/>
          <w:bCs/>
          <w:sz w:val="26"/>
          <w:szCs w:val="26"/>
        </w:rPr>
        <w:t xml:space="preserve"> that establishes that trust. The “prophetic message” of scripture also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points to Jesus and his return. The writer says that “no prophecy ever came by human will, but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men and women moved by the Holy Spirit spoke from God” (v. 21).</w:t>
      </w:r>
    </w:p>
    <w:p w14:paraId="2336873B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7EF61491" w14:textId="23F316E6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Later, 2 Peter 3:2 urges readers to remember not just the words of the “holy prophets</w:t>
      </w:r>
      <w:r w:rsidR="001A5C2A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>” but also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“the commandments of the Lord and Savior spoken through your apostles.” This, combined with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the mention of Paul’s writing in 3:16, implies that the writings of the apostles themselves are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seen as inspired by the Holy Spirit.</w:t>
      </w:r>
    </w:p>
    <w:p w14:paraId="34D93FDB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0CE0D2B8" w14:textId="1A3152B5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The writer’s defense of Christ’s Second Coming is based on the apostles’ historical witness of</w:t>
      </w:r>
      <w:r w:rsidR="007A1B8A">
        <w:rPr>
          <w:rFonts w:ascii="Garamond" w:hAnsi="Garamond"/>
          <w:bCs/>
          <w:sz w:val="26"/>
          <w:szCs w:val="26"/>
        </w:rPr>
        <w:t xml:space="preserve"> t</w:t>
      </w:r>
      <w:r w:rsidRPr="00FF5E90">
        <w:rPr>
          <w:rFonts w:ascii="Garamond" w:hAnsi="Garamond"/>
          <w:bCs/>
          <w:sz w:val="26"/>
          <w:szCs w:val="26"/>
        </w:rPr>
        <w:t>he Transfiguration and the divine inspiration of scripture. The scriptures weren’t written only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“by human will” or imagination (v. 21). Just as Peter and the others witnessed the glory of the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 xml:space="preserve">Transfiguration and </w:t>
      </w:r>
      <w:proofErr w:type="gramStart"/>
      <w:r w:rsidRPr="00FF5E90">
        <w:rPr>
          <w:rFonts w:ascii="Garamond" w:hAnsi="Garamond"/>
          <w:bCs/>
          <w:sz w:val="26"/>
          <w:szCs w:val="26"/>
        </w:rPr>
        <w:t>told</w:t>
      </w:r>
      <w:proofErr w:type="gramEnd"/>
      <w:r w:rsidRPr="00FF5E90">
        <w:rPr>
          <w:rFonts w:ascii="Garamond" w:hAnsi="Garamond"/>
          <w:bCs/>
          <w:sz w:val="26"/>
          <w:szCs w:val="26"/>
        </w:rPr>
        <w:t xml:space="preserve"> about it, </w:t>
      </w:r>
      <w:r w:rsidR="001A5C2A">
        <w:rPr>
          <w:rFonts w:ascii="Garamond" w:hAnsi="Garamond"/>
          <w:bCs/>
          <w:sz w:val="26"/>
          <w:szCs w:val="26"/>
        </w:rPr>
        <w:t xml:space="preserve">so too is </w:t>
      </w:r>
      <w:r w:rsidRPr="00FF5E90">
        <w:rPr>
          <w:rFonts w:ascii="Garamond" w:hAnsi="Garamond"/>
          <w:bCs/>
          <w:sz w:val="26"/>
          <w:szCs w:val="26"/>
        </w:rPr>
        <w:t>God’s word communicated through human participation in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writing scripture.</w:t>
      </w:r>
    </w:p>
    <w:p w14:paraId="1D9471C3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6E381997" w14:textId="77777777" w:rsidR="005F35DB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lastRenderedPageBreak/>
        <w:t>Experience and scripture establish the trustworthiness of Peter’s teachings regarding Christ and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his return. Because the apostles experienced Jesus</w:t>
      </w:r>
      <w:r w:rsidR="001D665F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and because scripture </w:t>
      </w:r>
      <w:proofErr w:type="gramStart"/>
      <w:r w:rsidRPr="00FF5E90">
        <w:rPr>
          <w:rFonts w:ascii="Garamond" w:hAnsi="Garamond"/>
          <w:bCs/>
          <w:sz w:val="26"/>
          <w:szCs w:val="26"/>
        </w:rPr>
        <w:t>tells</w:t>
      </w:r>
      <w:proofErr w:type="gramEnd"/>
      <w:r w:rsidRPr="00FF5E90">
        <w:rPr>
          <w:rFonts w:ascii="Garamond" w:hAnsi="Garamond"/>
          <w:bCs/>
          <w:sz w:val="26"/>
          <w:szCs w:val="26"/>
        </w:rPr>
        <w:t xml:space="preserve"> about him,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Christians can have faith that Christ will return</w:t>
      </w:r>
      <w:r w:rsidR="001D665F">
        <w:rPr>
          <w:rFonts w:ascii="Garamond" w:hAnsi="Garamond"/>
          <w:bCs/>
          <w:sz w:val="26"/>
          <w:szCs w:val="26"/>
        </w:rPr>
        <w:t>.</w:t>
      </w:r>
      <w:r w:rsidRPr="00FF5E90">
        <w:rPr>
          <w:rFonts w:ascii="Garamond" w:hAnsi="Garamond"/>
          <w:bCs/>
          <w:sz w:val="26"/>
          <w:szCs w:val="26"/>
        </w:rPr>
        <w:t xml:space="preserve"> </w:t>
      </w:r>
      <w:r w:rsidR="001D665F">
        <w:rPr>
          <w:rFonts w:ascii="Garamond" w:hAnsi="Garamond"/>
          <w:bCs/>
          <w:sz w:val="26"/>
          <w:szCs w:val="26"/>
        </w:rPr>
        <w:t>And we can</w:t>
      </w:r>
      <w:r w:rsidRPr="00FF5E90">
        <w:rPr>
          <w:rFonts w:ascii="Garamond" w:hAnsi="Garamond"/>
          <w:bCs/>
          <w:sz w:val="26"/>
          <w:szCs w:val="26"/>
        </w:rPr>
        <w:t xml:space="preserve"> strive to live faithful, virtuous lives now.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</w:p>
    <w:p w14:paraId="57D823B3" w14:textId="77777777" w:rsidR="005F35DB" w:rsidRDefault="005F35DB" w:rsidP="00313AB8">
      <w:pPr>
        <w:rPr>
          <w:rFonts w:ascii="Garamond" w:hAnsi="Garamond"/>
          <w:bCs/>
          <w:sz w:val="26"/>
          <w:szCs w:val="26"/>
        </w:rPr>
      </w:pPr>
    </w:p>
    <w:p w14:paraId="28A89363" w14:textId="5C645B46" w:rsid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Throughout the season of Epiphany, the gospel readings have shown us the rippling revelation of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Jesus’ identity</w:t>
      </w:r>
      <w:r w:rsidR="005F35DB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culminating in Christ being transfigured in glory today. Scriptures such as these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are one way we know Christ. But</w:t>
      </w:r>
      <w:r w:rsidR="005F35DB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like Peter, we can also know Christ through experience</w:t>
      </w:r>
      <w:r w:rsidR="005F35DB">
        <w:rPr>
          <w:rFonts w:ascii="Garamond" w:hAnsi="Garamond"/>
          <w:bCs/>
          <w:sz w:val="26"/>
          <w:szCs w:val="26"/>
        </w:rPr>
        <w:t>:</w:t>
      </w:r>
      <w:r w:rsidRPr="00FF5E90">
        <w:rPr>
          <w:rFonts w:ascii="Garamond" w:hAnsi="Garamond"/>
          <w:bCs/>
          <w:sz w:val="26"/>
          <w:szCs w:val="26"/>
        </w:rPr>
        <w:t xml:space="preserve"> the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Sacraments, prayer, worship, relationships with others, time spent in creation.</w:t>
      </w:r>
    </w:p>
    <w:p w14:paraId="39527CDC" w14:textId="77777777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</w:p>
    <w:p w14:paraId="43698920" w14:textId="72BDC069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This “knowledge of [Christ] who called us by his own glory and excellence” (2 Pet 1:3) allows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us to “become participants of the divine nature</w:t>
      </w:r>
      <w:r w:rsidR="005F35DB">
        <w:rPr>
          <w:rFonts w:ascii="Garamond" w:hAnsi="Garamond"/>
          <w:bCs/>
          <w:sz w:val="26"/>
          <w:szCs w:val="26"/>
        </w:rPr>
        <w:t>”</w:t>
      </w:r>
      <w:r w:rsidRPr="00FF5E90">
        <w:rPr>
          <w:rFonts w:ascii="Garamond" w:hAnsi="Garamond"/>
          <w:bCs/>
          <w:sz w:val="26"/>
          <w:szCs w:val="26"/>
        </w:rPr>
        <w:t xml:space="preserve"> (1:4). Through Christ, we have been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“given…everything needed for life and godliness” (1:3). When we are faced with false teaching,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doubt, or discouragement, we, like the writer of 2 Peter, can turn to the trustworthiness of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experience and scripture to bolster our faithful endurance</w:t>
      </w:r>
      <w:r w:rsidR="00C9753B">
        <w:rPr>
          <w:rFonts w:ascii="Garamond" w:hAnsi="Garamond"/>
          <w:bCs/>
          <w:sz w:val="26"/>
          <w:szCs w:val="26"/>
        </w:rPr>
        <w:t>,</w:t>
      </w:r>
      <w:r w:rsidRPr="00FF5E90">
        <w:rPr>
          <w:rFonts w:ascii="Garamond" w:hAnsi="Garamond"/>
          <w:bCs/>
          <w:sz w:val="26"/>
          <w:szCs w:val="26"/>
        </w:rPr>
        <w:t xml:space="preserve"> as</w:t>
      </w:r>
      <w:r w:rsidR="00C9753B">
        <w:rPr>
          <w:rFonts w:ascii="Garamond" w:hAnsi="Garamond"/>
          <w:bCs/>
          <w:sz w:val="26"/>
          <w:szCs w:val="26"/>
        </w:rPr>
        <w:t xml:space="preserve"> we</w:t>
      </w:r>
      <w:r w:rsidRPr="00FF5E90">
        <w:rPr>
          <w:rFonts w:ascii="Garamond" w:hAnsi="Garamond"/>
          <w:bCs/>
          <w:sz w:val="26"/>
          <w:szCs w:val="26"/>
        </w:rPr>
        <w:t xml:space="preserve"> wait and “grow in the grace and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knowledge of our Lord and Savior Jesus Christ” (2 Pet 3:18).</w:t>
      </w:r>
    </w:p>
    <w:p w14:paraId="542CD4E3" w14:textId="77777777" w:rsidR="00FF5E90" w:rsidRDefault="00FF5E90" w:rsidP="00313AB8">
      <w:pPr>
        <w:rPr>
          <w:rFonts w:ascii="Garamond" w:hAnsi="Garamond"/>
          <w:b/>
          <w:bCs/>
          <w:sz w:val="26"/>
          <w:szCs w:val="26"/>
        </w:rPr>
      </w:pPr>
    </w:p>
    <w:p w14:paraId="42BE769A" w14:textId="4DEBC36F" w:rsidR="00FF5E90" w:rsidRDefault="00FF5E90" w:rsidP="00313AB8">
      <w:pPr>
        <w:rPr>
          <w:rFonts w:ascii="Garamond" w:hAnsi="Garamond"/>
          <w:b/>
          <w:bCs/>
          <w:sz w:val="26"/>
          <w:szCs w:val="26"/>
        </w:rPr>
      </w:pPr>
      <w:r w:rsidRPr="00FF5E90">
        <w:rPr>
          <w:rFonts w:ascii="Garamond" w:hAnsi="Garamond"/>
          <w:b/>
          <w:bCs/>
          <w:sz w:val="26"/>
          <w:szCs w:val="26"/>
        </w:rPr>
        <w:t>Discussion Questions</w:t>
      </w:r>
      <w:r>
        <w:rPr>
          <w:rFonts w:ascii="Garamond" w:hAnsi="Garamond"/>
          <w:b/>
          <w:bCs/>
          <w:sz w:val="26"/>
          <w:szCs w:val="26"/>
        </w:rPr>
        <w:t xml:space="preserve"> |</w:t>
      </w:r>
    </w:p>
    <w:p w14:paraId="00B03072" w14:textId="77777777" w:rsidR="007A1B8A" w:rsidRPr="00FF5E90" w:rsidRDefault="007A1B8A" w:rsidP="00313AB8">
      <w:pPr>
        <w:rPr>
          <w:rFonts w:ascii="Garamond" w:hAnsi="Garamond"/>
          <w:b/>
          <w:sz w:val="26"/>
          <w:szCs w:val="26"/>
        </w:rPr>
      </w:pPr>
    </w:p>
    <w:p w14:paraId="1EC764A1" w14:textId="77777777" w:rsidR="00FF5E90" w:rsidRPr="00FF5E90" w:rsidRDefault="00FF5E90" w:rsidP="00313AB8">
      <w:pPr>
        <w:pStyle w:val="ListParagraph"/>
        <w:numPr>
          <w:ilvl w:val="0"/>
          <w:numId w:val="3"/>
        </w:num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Where do you see evidence of the inbreaking of Christ’s glory in the world?</w:t>
      </w:r>
    </w:p>
    <w:p w14:paraId="626C4004" w14:textId="77777777" w:rsidR="00FF5E90" w:rsidRPr="00FF5E90" w:rsidRDefault="00FF5E90" w:rsidP="00313AB8">
      <w:pPr>
        <w:pStyle w:val="ListParagraph"/>
        <w:numPr>
          <w:ilvl w:val="0"/>
          <w:numId w:val="3"/>
        </w:num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How has scripture acted as “a lamp shining in a dark place” (v. 19) for you?</w:t>
      </w:r>
    </w:p>
    <w:p w14:paraId="6DE0B6E3" w14:textId="77777777" w:rsidR="00FF5E90" w:rsidRPr="00FF5E90" w:rsidRDefault="00FF5E90" w:rsidP="00313AB8">
      <w:pPr>
        <w:pStyle w:val="ListParagraph"/>
        <w:numPr>
          <w:ilvl w:val="0"/>
          <w:numId w:val="3"/>
        </w:num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When you are faced with doubts about faith, from where do you draw reassurance? What</w:t>
      </w:r>
    </w:p>
    <w:p w14:paraId="60D50FB5" w14:textId="77777777" w:rsidR="00FF5E90" w:rsidRDefault="00FF5E90" w:rsidP="00313AB8">
      <w:pPr>
        <w:pStyle w:val="ListParagraph"/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 xml:space="preserve">experiences or scriptures sustain your faithful </w:t>
      </w:r>
      <w:proofErr w:type="gramStart"/>
      <w:r w:rsidRPr="00FF5E90">
        <w:rPr>
          <w:rFonts w:ascii="Garamond" w:hAnsi="Garamond"/>
          <w:bCs/>
          <w:sz w:val="26"/>
          <w:szCs w:val="26"/>
        </w:rPr>
        <w:t>endurance?</w:t>
      </w:r>
      <w:proofErr w:type="gramEnd"/>
    </w:p>
    <w:p w14:paraId="05A20F0F" w14:textId="77777777" w:rsidR="00FF5E90" w:rsidRPr="00FF5E90" w:rsidRDefault="00FF5E90" w:rsidP="00313AB8">
      <w:pPr>
        <w:pStyle w:val="ListParagraph"/>
        <w:rPr>
          <w:rFonts w:ascii="Garamond" w:hAnsi="Garamond"/>
          <w:bCs/>
          <w:sz w:val="26"/>
          <w:szCs w:val="26"/>
        </w:rPr>
      </w:pPr>
    </w:p>
    <w:p w14:paraId="68C88C83" w14:textId="6C495AC5" w:rsidR="00FF5E90" w:rsidRDefault="00FF5E90" w:rsidP="00313AB8">
      <w:pPr>
        <w:rPr>
          <w:rFonts w:ascii="Garamond" w:hAnsi="Garamond"/>
          <w:b/>
          <w:bCs/>
          <w:sz w:val="26"/>
          <w:szCs w:val="26"/>
        </w:rPr>
      </w:pPr>
      <w:r w:rsidRPr="00FF5E90">
        <w:rPr>
          <w:rFonts w:ascii="Garamond" w:hAnsi="Garamond"/>
          <w:b/>
          <w:bCs/>
          <w:sz w:val="26"/>
          <w:szCs w:val="26"/>
        </w:rPr>
        <w:t>Faith in Practice</w:t>
      </w:r>
      <w:r>
        <w:rPr>
          <w:rFonts w:ascii="Garamond" w:hAnsi="Garamond"/>
          <w:b/>
          <w:bCs/>
          <w:sz w:val="26"/>
          <w:szCs w:val="26"/>
        </w:rPr>
        <w:t xml:space="preserve"> |</w:t>
      </w:r>
    </w:p>
    <w:p w14:paraId="17F9352B" w14:textId="77777777" w:rsidR="00FF5E90" w:rsidRPr="00FF5E90" w:rsidRDefault="00FF5E90" w:rsidP="00313AB8">
      <w:pPr>
        <w:rPr>
          <w:rFonts w:ascii="Garamond" w:hAnsi="Garamond"/>
          <w:b/>
          <w:sz w:val="26"/>
          <w:szCs w:val="26"/>
        </w:rPr>
      </w:pPr>
    </w:p>
    <w:p w14:paraId="764F61DA" w14:textId="59ECFF66" w:rsidR="00FF5E90" w:rsidRPr="00FF5E90" w:rsidRDefault="00FF5E90" w:rsidP="00313AB8">
      <w:pPr>
        <w:rPr>
          <w:rFonts w:ascii="Garamond" w:hAnsi="Garamond"/>
          <w:bCs/>
          <w:sz w:val="26"/>
          <w:szCs w:val="26"/>
        </w:rPr>
      </w:pPr>
      <w:r w:rsidRPr="00FF5E90">
        <w:rPr>
          <w:rFonts w:ascii="Garamond" w:hAnsi="Garamond"/>
          <w:bCs/>
          <w:sz w:val="26"/>
          <w:szCs w:val="26"/>
        </w:rPr>
        <w:t>What personal experiences or favorite scriptures are important to your faith and help you to trust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in Jesus? If you were writing a testament, what sources would you draw from to establish the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legacy of your faith? Take time to reflect on this. Write it down so that you can turn to it as a</w:t>
      </w:r>
      <w:r w:rsidR="007A1B8A">
        <w:rPr>
          <w:rFonts w:ascii="Garamond" w:hAnsi="Garamond"/>
          <w:bCs/>
          <w:sz w:val="26"/>
          <w:szCs w:val="26"/>
        </w:rPr>
        <w:t xml:space="preserve"> </w:t>
      </w:r>
      <w:r w:rsidRPr="00FF5E90">
        <w:rPr>
          <w:rFonts w:ascii="Garamond" w:hAnsi="Garamond"/>
          <w:bCs/>
          <w:sz w:val="26"/>
          <w:szCs w:val="26"/>
        </w:rPr>
        <w:t>source of inspiration for faithful endurance. Consider sharing it with a friend.</w:t>
      </w:r>
    </w:p>
    <w:p w14:paraId="28D3CBF6" w14:textId="77777777" w:rsidR="00FF5E90" w:rsidRDefault="00FF5E90" w:rsidP="00313AB8">
      <w:pPr>
        <w:rPr>
          <w:rFonts w:ascii="Garamond" w:hAnsi="Garamond" w:cs="Times New Roman"/>
          <w:b/>
          <w:bCs/>
          <w:sz w:val="26"/>
          <w:szCs w:val="26"/>
        </w:rPr>
      </w:pPr>
    </w:p>
    <w:p w14:paraId="2B1BB469" w14:textId="44763B04" w:rsidR="003929D1" w:rsidRPr="0083073E" w:rsidRDefault="00FF5E90" w:rsidP="00313AB8">
      <w:pPr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b/>
          <w:bCs/>
          <w:i/>
          <w:iCs/>
          <w:sz w:val="26"/>
          <w:szCs w:val="26"/>
        </w:rPr>
        <w:t>Brandon Medley</w:t>
      </w:r>
      <w:r w:rsidR="0083073E"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is a candidate for the priesthood in the Diocese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of Georgia. He is a senior in the hybrid M.Div. program at The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General Theological Seminary and currently serves at St.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Barnabas Episcopal Church in Valdosta, Georgia. He works as an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elementary school behavior interventionist. Brandon enjoys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sharing life with his wife, Elizabeth, and their two dogs, Fred and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Betty. He enjoys hiking, birding, and Star Wars.</w:t>
      </w:r>
    </w:p>
    <w:p w14:paraId="60E4F4D0" w14:textId="77777777" w:rsidR="003929D1" w:rsidRPr="00714534" w:rsidRDefault="003929D1" w:rsidP="00313AB8">
      <w:pPr>
        <w:tabs>
          <w:tab w:val="left" w:pos="1044"/>
        </w:tabs>
        <w:jc w:val="center"/>
        <w:rPr>
          <w:rFonts w:ascii="Garamond" w:hAnsi="Garamond"/>
          <w:sz w:val="26"/>
          <w:szCs w:val="26"/>
        </w:rPr>
      </w:pPr>
    </w:p>
    <w:p w14:paraId="31E794E4" w14:textId="71E5ED3A" w:rsidR="003929D1" w:rsidRPr="00714534" w:rsidRDefault="003929D1" w:rsidP="00313AB8">
      <w:pPr>
        <w:tabs>
          <w:tab w:val="left" w:pos="6433"/>
        </w:tabs>
        <w:rPr>
          <w:rFonts w:ascii="Garamond" w:hAnsi="Garamond"/>
          <w:sz w:val="26"/>
          <w:szCs w:val="26"/>
        </w:rPr>
      </w:pPr>
    </w:p>
    <w:p w14:paraId="469E61CD" w14:textId="77777777" w:rsidR="003929D1" w:rsidRPr="00714534" w:rsidRDefault="003929D1" w:rsidP="00313AB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51AD4B5" w14:textId="77777777" w:rsidR="003929D1" w:rsidRPr="00714534" w:rsidRDefault="003929D1" w:rsidP="00313AB8">
      <w:pPr>
        <w:rPr>
          <w:rFonts w:ascii="Garamond" w:hAnsi="Garamond"/>
        </w:rPr>
      </w:pPr>
      <w:r w:rsidRPr="0071453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7CE79" wp14:editId="1A58D29F">
                <wp:simplePos x="0" y="0"/>
                <wp:positionH relativeFrom="column">
                  <wp:posOffset>3260090</wp:posOffset>
                </wp:positionH>
                <wp:positionV relativeFrom="paragraph">
                  <wp:posOffset>344170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4B580" w14:textId="77777777" w:rsidR="003929D1" w:rsidRPr="00225FEC" w:rsidRDefault="003929D1" w:rsidP="003929D1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1B43AE84" w14:textId="77777777" w:rsidR="003929D1" w:rsidRPr="00225FEC" w:rsidRDefault="003929D1" w:rsidP="003929D1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0E8ACE94" w14:textId="77777777" w:rsidR="003929D1" w:rsidRPr="00225FEC" w:rsidRDefault="003929D1" w:rsidP="003929D1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7E23C852" w14:textId="77777777" w:rsidR="003929D1" w:rsidRPr="00225FEC" w:rsidRDefault="003929D1" w:rsidP="003929D1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7CE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27.1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" filled="f" stroked="f" strokeweight=".5pt">
                <v:textbox>
                  <w:txbxContent>
                    <w:p w14:paraId="20D4B580" w14:textId="77777777" w:rsidR="003929D1" w:rsidRPr="00225FEC" w:rsidRDefault="003929D1" w:rsidP="003929D1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1B43AE84" w14:textId="77777777" w:rsidR="003929D1" w:rsidRPr="00225FEC" w:rsidRDefault="003929D1" w:rsidP="003929D1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0E8ACE94" w14:textId="77777777" w:rsidR="003929D1" w:rsidRPr="00225FEC" w:rsidRDefault="003929D1" w:rsidP="003929D1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7E23C852" w14:textId="77777777" w:rsidR="003929D1" w:rsidRPr="00225FEC" w:rsidRDefault="003929D1" w:rsidP="003929D1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1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714534">
        <w:rPr>
          <w:rFonts w:ascii="Garamond" w:hAnsi="Garamond"/>
          <w:noProof/>
          <w14:ligatures w14:val="standardContextual"/>
        </w:rPr>
        <w:drawing>
          <wp:inline distT="0" distB="0" distL="0" distR="0" wp14:anchorId="5C94EF5B" wp14:editId="58AF6ED8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F86D" w14:textId="77777777" w:rsidR="003929D1" w:rsidRPr="00714534" w:rsidRDefault="003929D1" w:rsidP="00313AB8">
      <w:pPr>
        <w:rPr>
          <w:rFonts w:ascii="Garamond" w:hAnsi="Garamond"/>
        </w:rPr>
      </w:pPr>
    </w:p>
    <w:p w14:paraId="236D2AD1" w14:textId="77777777" w:rsidR="003929D1" w:rsidRPr="00714534" w:rsidRDefault="003929D1" w:rsidP="00313AB8">
      <w:pPr>
        <w:rPr>
          <w:rFonts w:ascii="Garamond" w:hAnsi="Garamond"/>
        </w:rPr>
      </w:pPr>
    </w:p>
    <w:p w14:paraId="43DD5194" w14:textId="77777777" w:rsidR="000661CF" w:rsidRDefault="000661CF" w:rsidP="00313AB8"/>
    <w:sectPr w:rsidR="000661CF" w:rsidSect="003929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BCA1" w14:textId="77777777" w:rsidR="00134EE0" w:rsidRDefault="00134EE0">
      <w:r>
        <w:separator/>
      </w:r>
    </w:p>
  </w:endnote>
  <w:endnote w:type="continuationSeparator" w:id="0">
    <w:p w14:paraId="4FE1A49A" w14:textId="77777777" w:rsidR="00134EE0" w:rsidRDefault="001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49CC" w14:textId="77777777" w:rsidR="004158E9" w:rsidRDefault="00415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EB4D" w14:textId="77777777" w:rsidR="003929D1" w:rsidRPr="00812385" w:rsidRDefault="003929D1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 xml:space="preserve">Published by the Office of </w:t>
    </w:r>
    <w:r>
      <w:rPr>
        <w:rFonts w:ascii="Garamond" w:hAnsi="Garamond"/>
        <w:sz w:val="18"/>
      </w:rPr>
      <w:t>Communic</w:t>
    </w:r>
    <w:r w:rsidRPr="00812385">
      <w:rPr>
        <w:rFonts w:ascii="Garamond" w:hAnsi="Garamond"/>
        <w:sz w:val="18"/>
      </w:rPr>
      <w:t xml:space="preserve">ation of The Episcopal Church, 815 Second Avenue, New York, N.Y. 10017 </w:t>
    </w:r>
  </w:p>
  <w:p w14:paraId="7CB4DED5" w14:textId="56CDA491" w:rsidR="003929D1" w:rsidRPr="00812385" w:rsidRDefault="003929D1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>© 20</w:t>
    </w:r>
    <w:r>
      <w:rPr>
        <w:rFonts w:ascii="Garamond" w:hAnsi="Garamond"/>
        <w:sz w:val="18"/>
      </w:rPr>
      <w:t>2</w:t>
    </w:r>
    <w:r w:rsidR="004158E9">
      <w:rPr>
        <w:rFonts w:ascii="Garamond" w:hAnsi="Garamond"/>
        <w:sz w:val="18"/>
      </w:rPr>
      <w:t>6</w:t>
    </w:r>
    <w:r w:rsidRPr="00812385">
      <w:rPr>
        <w:rFonts w:ascii="Garamond" w:hAnsi="Garamond"/>
        <w:sz w:val="18"/>
      </w:rPr>
      <w:t xml:space="preserve"> The Domestic and Foreign Missionary Society of the Protestant Episcopal</w:t>
    </w:r>
    <w:r>
      <w:rPr>
        <w:rFonts w:ascii="Garamond" w:hAnsi="Garamond"/>
        <w:sz w:val="18"/>
      </w:rPr>
      <w:t xml:space="preserve"> </w:t>
    </w:r>
    <w:r w:rsidRPr="00812385">
      <w:rPr>
        <w:rFonts w:ascii="Garamond" w:hAnsi="Garamond"/>
        <w:sz w:val="18"/>
      </w:rPr>
      <w:t>Church in the United States of America.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4768" w14:textId="77777777" w:rsidR="004158E9" w:rsidRDefault="00415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8849" w14:textId="77777777" w:rsidR="00134EE0" w:rsidRDefault="00134EE0">
      <w:r>
        <w:separator/>
      </w:r>
    </w:p>
  </w:footnote>
  <w:footnote w:type="continuationSeparator" w:id="0">
    <w:p w14:paraId="454B562A" w14:textId="77777777" w:rsidR="00134EE0" w:rsidRDefault="0013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6EE9" w14:textId="77777777" w:rsidR="004158E9" w:rsidRDefault="0041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C6F1" w14:textId="77777777" w:rsidR="004158E9" w:rsidRDefault="0041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53FC" w14:textId="77777777" w:rsidR="004158E9" w:rsidRDefault="0041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52F"/>
    <w:multiLevelType w:val="hybridMultilevel"/>
    <w:tmpl w:val="7FDC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6D1D8">
      <w:numFmt w:val="bullet"/>
      <w:lvlText w:val="•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526"/>
    <w:multiLevelType w:val="hybridMultilevel"/>
    <w:tmpl w:val="D3B8D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A7E98"/>
    <w:multiLevelType w:val="hybridMultilevel"/>
    <w:tmpl w:val="E284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1963">
    <w:abstractNumId w:val="1"/>
  </w:num>
  <w:num w:numId="2" w16cid:durableId="190269110">
    <w:abstractNumId w:val="0"/>
  </w:num>
  <w:num w:numId="3" w16cid:durableId="62150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D1"/>
    <w:rsid w:val="000661CF"/>
    <w:rsid w:val="00134EE0"/>
    <w:rsid w:val="00196267"/>
    <w:rsid w:val="001A5C2A"/>
    <w:rsid w:val="001D665F"/>
    <w:rsid w:val="00263A84"/>
    <w:rsid w:val="00294A8E"/>
    <w:rsid w:val="002B4820"/>
    <w:rsid w:val="002D0208"/>
    <w:rsid w:val="00313AB8"/>
    <w:rsid w:val="003460A7"/>
    <w:rsid w:val="003716BB"/>
    <w:rsid w:val="003929D1"/>
    <w:rsid w:val="003D4B66"/>
    <w:rsid w:val="004158E9"/>
    <w:rsid w:val="005F35DB"/>
    <w:rsid w:val="0069373F"/>
    <w:rsid w:val="006D1A2B"/>
    <w:rsid w:val="00787DAD"/>
    <w:rsid w:val="007A1B8A"/>
    <w:rsid w:val="007A5217"/>
    <w:rsid w:val="0083073E"/>
    <w:rsid w:val="0093369E"/>
    <w:rsid w:val="00A14B81"/>
    <w:rsid w:val="00A21B78"/>
    <w:rsid w:val="00A82466"/>
    <w:rsid w:val="00AB473C"/>
    <w:rsid w:val="00AB50EF"/>
    <w:rsid w:val="00AC6AB6"/>
    <w:rsid w:val="00AD687F"/>
    <w:rsid w:val="00B57E54"/>
    <w:rsid w:val="00C20416"/>
    <w:rsid w:val="00C83CA9"/>
    <w:rsid w:val="00C9753B"/>
    <w:rsid w:val="00CE3216"/>
    <w:rsid w:val="00DC2B6D"/>
    <w:rsid w:val="00DD750F"/>
    <w:rsid w:val="00E35613"/>
    <w:rsid w:val="00E957F5"/>
    <w:rsid w:val="00E9629A"/>
    <w:rsid w:val="00EC0BA3"/>
    <w:rsid w:val="00EE7792"/>
    <w:rsid w:val="00F324F3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D3EBE"/>
  <w15:chartTrackingRefBased/>
  <w15:docId w15:val="{3E51F1AC-AB43-334E-9792-313119EA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9D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9D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92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9D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929D1"/>
    <w:rPr>
      <w:color w:val="467886" w:themeColor="hyperlink"/>
      <w:u w:val="single"/>
    </w:rPr>
  </w:style>
  <w:style w:type="paragraph" w:customStyle="1" w:styleId="Body">
    <w:name w:val="Body"/>
    <w:rsid w:val="003929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58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8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bible-stud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piscopalchurch.org/sermons-that-wor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piscopalchurch.org/bible-stud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iscopalchurch.org/sermons-that-wor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1287</Words>
  <Characters>6478</Characters>
  <Application>Microsoft Office Word</Application>
  <DocSecurity>0</DocSecurity>
  <Lines>127</Lines>
  <Paragraphs>39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15</cp:revision>
  <cp:lastPrinted>2025-12-16T13:36:00Z</cp:lastPrinted>
  <dcterms:created xsi:type="dcterms:W3CDTF">2026-01-06T18:05:00Z</dcterms:created>
  <dcterms:modified xsi:type="dcterms:W3CDTF">2026-01-12T17:20:00Z</dcterms:modified>
</cp:coreProperties>
</file>