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9558FC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9558FC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9558FC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26DCAD86" w:rsidR="00DA4BF9" w:rsidRPr="009558FC" w:rsidRDefault="00A85FA2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9558FC">
        <w:rPr>
          <w:rFonts w:ascii="Garamond" w:hAnsi="Garamond"/>
          <w:b/>
          <w:sz w:val="26"/>
          <w:szCs w:val="26"/>
          <w:lang w:val="es-ES"/>
        </w:rPr>
        <w:t>Día de Pentecostés</w:t>
      </w:r>
      <w:r w:rsidR="00AC7E2F" w:rsidRPr="009558FC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9558FC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5DC5AA23" w:rsidR="00DA4BF9" w:rsidRPr="009558FC" w:rsidRDefault="00A85FA2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9558FC">
        <w:rPr>
          <w:rFonts w:ascii="Garamond" w:hAnsi="Garamond"/>
          <w:b/>
          <w:sz w:val="26"/>
          <w:szCs w:val="26"/>
          <w:lang w:val="es-ES"/>
        </w:rPr>
        <w:t>24</w:t>
      </w:r>
      <w:r w:rsidR="00DA4BF9" w:rsidRPr="009558FC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65BC5" w:rsidRPr="009558FC">
        <w:rPr>
          <w:rFonts w:ascii="Garamond" w:hAnsi="Garamond"/>
          <w:b/>
          <w:sz w:val="26"/>
          <w:szCs w:val="26"/>
          <w:lang w:val="es-ES"/>
        </w:rPr>
        <w:t>mayo</w:t>
      </w:r>
      <w:r w:rsidR="00DA4BF9" w:rsidRPr="009558FC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9558FC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9558FC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281C4E98" w14:textId="77777777" w:rsidR="00A85FA2" w:rsidRPr="009558FC" w:rsidRDefault="00DA4BF9" w:rsidP="00A85FA2">
      <w:pPr>
        <w:rPr>
          <w:rFonts w:ascii="Garamond" w:hAnsi="Garamond"/>
          <w:bCs/>
          <w:sz w:val="26"/>
          <w:szCs w:val="26"/>
        </w:rPr>
      </w:pPr>
      <w:r w:rsidRPr="009558FC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A85FA2" w:rsidRPr="009558FC">
        <w:rPr>
          <w:rFonts w:ascii="Garamond" w:hAnsi="Garamond"/>
          <w:b/>
          <w:sz w:val="26"/>
          <w:szCs w:val="26"/>
        </w:rPr>
        <w:t>Hechos</w:t>
      </w:r>
      <w:proofErr w:type="spellEnd"/>
      <w:r w:rsidR="00A85FA2" w:rsidRPr="009558FC">
        <w:rPr>
          <w:rFonts w:ascii="Garamond" w:hAnsi="Garamond"/>
          <w:b/>
          <w:sz w:val="26"/>
          <w:szCs w:val="26"/>
        </w:rPr>
        <w:t xml:space="preserve"> 2:1-21</w:t>
      </w:r>
      <w:r w:rsidR="00A85FA2" w:rsidRPr="009558FC">
        <w:rPr>
          <w:rFonts w:ascii="Garamond" w:hAnsi="Garamond"/>
          <w:bCs/>
          <w:sz w:val="26"/>
          <w:szCs w:val="26"/>
        </w:rPr>
        <w:t xml:space="preserve">; Salmo 104:25-35 y 37; 1 </w:t>
      </w:r>
      <w:proofErr w:type="spellStart"/>
      <w:r w:rsidR="00A85FA2" w:rsidRPr="009558FC">
        <w:rPr>
          <w:rFonts w:ascii="Garamond" w:hAnsi="Garamond"/>
          <w:bCs/>
          <w:sz w:val="26"/>
          <w:szCs w:val="26"/>
        </w:rPr>
        <w:t>Corintios</w:t>
      </w:r>
      <w:proofErr w:type="spellEnd"/>
      <w:r w:rsidR="00A85FA2" w:rsidRPr="009558FC">
        <w:rPr>
          <w:rFonts w:ascii="Garamond" w:hAnsi="Garamond"/>
          <w:bCs/>
          <w:sz w:val="26"/>
          <w:szCs w:val="26"/>
        </w:rPr>
        <w:t xml:space="preserve"> 12:3b-13; Juan 20:19-23 o Juan 7:37-39</w:t>
      </w:r>
    </w:p>
    <w:p w14:paraId="7E0CC778" w14:textId="60FFE3CD" w:rsidR="00E7203F" w:rsidRPr="009558FC" w:rsidRDefault="00E720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D931AFC" w14:textId="77777777" w:rsidR="00A91335" w:rsidRPr="009558FC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9558FC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9558FC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4FF7B27F" w14:textId="6EBAE557" w:rsidR="00A91335" w:rsidRPr="009558FC" w:rsidRDefault="00A85FA2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9558FC">
        <w:rPr>
          <w:rFonts w:ascii="Garamond" w:hAnsi="Garamond" w:cs="Times New Roman"/>
          <w:sz w:val="26"/>
          <w:szCs w:val="26"/>
        </w:rPr>
        <w:t xml:space="preserve">Dios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poder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día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abriste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camino de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eterna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lengua,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cultura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pueblo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nación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mediante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don del Espíritu Santo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prometido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Derrama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ese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predicación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llegue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hasta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confines de la tierra;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vive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ahora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Amén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5FAFF2B2" w14:textId="77777777" w:rsidR="00A91335" w:rsidRPr="009558FC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9558FC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9558FC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1A079116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proofErr w:type="spellStart"/>
      <w:r w:rsidRPr="009558FC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2:1-21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marca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un punto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inflexión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crucial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 Iglesia. 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libro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con Jesús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resucitado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preparando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prometiéndoles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recibirán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poder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descienda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1:8). El día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tuvo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lugar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poco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cumple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Reunidos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Jerusalén para la fiesta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judía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experimentan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al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fuego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palabra.</w:t>
      </w:r>
    </w:p>
    <w:p w14:paraId="08CE86C7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2F55AB6C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Este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extenderse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Jerusalén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estaba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llena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peregrinos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residentes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regiones, lenguas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culturas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Cuando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viene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Espíritu,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reunida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oye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hablar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obras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poderosas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lenguas. 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milagro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no es un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colapso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diferencia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uniformidad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Más bien,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escucha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allá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diferencias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humanas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25396C35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049E0B15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también introduce un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tema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clave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crea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tanto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arraigada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Israel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abierta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círculo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vez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amplio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personas. Pedro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interpreta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citando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profeta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Joel,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mostrando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evento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sorprendente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pertenece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al arco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propósitos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prometidos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desde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hace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mucho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Dios. El Espíritu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derrama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ampliamente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no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limitada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jóvenes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ancianos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mujeres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hombres, 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poca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posición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social.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2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ver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milagro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aislado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sino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comienzo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testimonio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lleno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Espíritu de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</w:p>
    <w:p w14:paraId="43880009" w14:textId="7116046A" w:rsidR="000846D5" w:rsidRPr="009558FC" w:rsidRDefault="000846D5" w:rsidP="00A91335">
      <w:pPr>
        <w:rPr>
          <w:rFonts w:ascii="Garamond" w:hAnsi="Garamond" w:cs="Times New Roman"/>
          <w:sz w:val="26"/>
          <w:szCs w:val="26"/>
        </w:rPr>
      </w:pPr>
    </w:p>
    <w:p w14:paraId="0C3E77BA" w14:textId="77777777" w:rsidR="00AC7E2F" w:rsidRPr="009558FC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9558FC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9558FC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347FA040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proofErr w:type="spellStart"/>
      <w:r w:rsidRPr="009558FC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2:1-21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con (y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basa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)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don,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logros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no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inventan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valor,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perspicacia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ni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misión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sí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Esperan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r w:rsidRPr="009558FC">
        <w:rPr>
          <w:rFonts w:ascii="Garamond" w:hAnsi="Garamond" w:cs="Times New Roman"/>
          <w:sz w:val="26"/>
          <w:szCs w:val="26"/>
        </w:rPr>
        <w:lastRenderedPageBreak/>
        <w:t xml:space="preserve">Espíritu Santo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viene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Antes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hable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enseñe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sirva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recibe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patrón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sigue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testimonio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fundamenta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ante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Dios.</w:t>
      </w:r>
    </w:p>
    <w:p w14:paraId="5289213E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1F3387A6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señales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rodean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llegada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Espíritu son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vívidas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físicas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llena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casa.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Aparecen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lenguas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fuego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habla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brota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sugieren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movimiento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energía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transformación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Espíritu es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activa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atrae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temerosa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limitada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nueva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653B01D1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16E7C153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Una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características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llamativas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lenguaje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Personas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oyen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hablar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propias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lenguas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nativas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Este es un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profundo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buena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noticia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obras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poderosas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 no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transmite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requiera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vuelvan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iguales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evangelio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proclama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persona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pueda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escucharlo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honra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diversidad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humana al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crea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comunión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seno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57266525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53F054B5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Ese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detalle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para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épocas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Las comunidades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derivar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fácilmente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formas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expresión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supuestos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son claros para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pertenecen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ellas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difíciles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Hechos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2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presenta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otro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modelo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guía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afuera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inteligibilidad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encuentro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 no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encerrado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sola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cultura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estilo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proclama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para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entero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4C975889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45EE8F80" w14:textId="02B2621A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reacción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acontecimiento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 mixta.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asombrados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perplejos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preguntándose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qué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Otros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burlan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descartan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acontecimiento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contraste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muestra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obra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 no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obvia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respetable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trastornar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expectativas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perturbar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categorías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familiares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Sin embargo, Pedro no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echa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atrás ante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Se pone de pie y lo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interpreta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citando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Joel de Dios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derramando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r w:rsidRPr="009558FC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70F80D08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6C0402FB" w14:textId="7B832038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Esa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frase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, «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r w:rsidRPr="009558FC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», es central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amplia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hijos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hijas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profetizarán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jóvenes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verán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visiones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ancianos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tendrán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sueños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baja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condición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social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incluidos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Espíritu no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reservado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élite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espiritual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un Dios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generosamente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llama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ampliamente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48673431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70F33D15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Este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nace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público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Espíritu no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viene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solo para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tranquilidad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privada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reciben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poder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testimonio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medio de un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abarrotado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dividido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no es un escape de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diferencia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humana,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confusión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o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tensión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Es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dentro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de</w:t>
      </w:r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El Espíritu forma un pueblo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hablar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obras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poderosas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Dios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otros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puedan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oírlas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465E0F90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3E7B5008" w14:textId="645025C9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palabra de Pedro,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tomada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Joel, es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: «Pero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invoquen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,</w:t>
      </w:r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alcanzarán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». Ese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resume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señales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dramáticas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inquieta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futuro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maneras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inesperadas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dirección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clara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Dios se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las personas con misericordia. El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viene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ampliar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alcance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reunir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las personas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enviar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 Iglesia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testimonio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fiel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662813F3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</w:p>
    <w:p w14:paraId="1BBA110F" w14:textId="77777777" w:rsidR="00A85FA2" w:rsidRPr="009558FC" w:rsidRDefault="00A85FA2" w:rsidP="00A85FA2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Por lo tanto,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invita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lenta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cuidadosa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Pide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consideren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aún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puede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creando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entendimiento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diferencias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levantando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voces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inesperadas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llamando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allá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miedo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proclamación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gozosa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.</w:t>
      </w:r>
    </w:p>
    <w:p w14:paraId="741C7375" w14:textId="77777777" w:rsidR="00AC7E2F" w:rsidRPr="009558FC" w:rsidRDefault="00AC7E2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0EDED142" w14:textId="77777777" w:rsidR="00A91335" w:rsidRPr="009558FC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9558FC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9558FC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9558FC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14739628" w14:textId="77777777" w:rsidR="00A85FA2" w:rsidRPr="009558FC" w:rsidRDefault="00A85FA2" w:rsidP="00A85FA2">
      <w:pPr>
        <w:pStyle w:val="ListParagraph"/>
        <w:numPr>
          <w:ilvl w:val="0"/>
          <w:numId w:val="27"/>
        </w:num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>¿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Qué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 lo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llama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imágenes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viento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fuego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lenguas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aparecen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? ¿Por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qué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crees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imagen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resulta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significativa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?</w:t>
      </w:r>
    </w:p>
    <w:p w14:paraId="31542931" w14:textId="77777777" w:rsidR="00A85FA2" w:rsidRPr="009558FC" w:rsidRDefault="00A85FA2" w:rsidP="00A85FA2">
      <w:pPr>
        <w:pStyle w:val="ListParagraph"/>
        <w:numPr>
          <w:ilvl w:val="0"/>
          <w:numId w:val="27"/>
        </w:num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>¿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Qué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significar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persona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escuche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buena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nueva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idioma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nativo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? </w:t>
      </w:r>
    </w:p>
    <w:p w14:paraId="04BCFA2C" w14:textId="77777777" w:rsidR="00A85FA2" w:rsidRPr="009558FC" w:rsidRDefault="00A85FA2" w:rsidP="00A85FA2">
      <w:pPr>
        <w:pStyle w:val="ListParagraph"/>
        <w:numPr>
          <w:ilvl w:val="0"/>
          <w:numId w:val="27"/>
        </w:num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¿De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qué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cita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Pedro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tomada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Joel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amplía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comprensión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del lector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recibe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Espíritu? </w:t>
      </w:r>
    </w:p>
    <w:p w14:paraId="120AEAAD" w14:textId="77777777" w:rsidR="00A85FA2" w:rsidRPr="009558FC" w:rsidRDefault="00A85FA2" w:rsidP="00A85FA2">
      <w:pPr>
        <w:pStyle w:val="ListParagraph"/>
        <w:numPr>
          <w:ilvl w:val="0"/>
          <w:numId w:val="27"/>
        </w:num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¿En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qué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aspectos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Iglesia de hoy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necesitar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abierta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comprensible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u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hospitalaria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testimonio? </w:t>
      </w:r>
    </w:p>
    <w:p w14:paraId="0FD93931" w14:textId="3DFC45B4" w:rsidR="00A85FA2" w:rsidRPr="009558FC" w:rsidRDefault="00A85FA2" w:rsidP="00A85FA2">
      <w:pPr>
        <w:pStyle w:val="ListParagraph"/>
        <w:numPr>
          <w:ilvl w:val="0"/>
          <w:numId w:val="27"/>
        </w:num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>¿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Qué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sugiere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conexión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Espíritu Santo y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vida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pública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fe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9558FC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9DF3D98" w14:textId="77777777" w:rsidR="00A91335" w:rsidRPr="009558FC" w:rsidRDefault="00A91335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9558FC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9558FC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6CD8C2BD" w14:textId="77777777" w:rsidR="009558FC" w:rsidRPr="009558FC" w:rsidRDefault="009558FC" w:rsidP="009558FC">
      <w:pPr>
        <w:rPr>
          <w:rFonts w:ascii="Garamond" w:hAnsi="Garamond" w:cs="Times New Roman"/>
          <w:sz w:val="26"/>
          <w:szCs w:val="26"/>
        </w:rPr>
      </w:pPr>
      <w:r w:rsidRPr="009558FC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dedica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cuya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trayectoria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perspectiva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difiera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tuya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Practica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el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arte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apresurarte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responder. Como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acto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pide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al Espíritu Santo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profundice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tu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comprensión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amplíe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tu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Pentecostés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nos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 Iglesia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Dios a menudo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construye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comunidad no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borrando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diferencias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sino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ayudando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las personas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escucharse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unas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otras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más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plena. ¿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vas a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esta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9558FC">
        <w:rPr>
          <w:rFonts w:ascii="Garamond" w:hAnsi="Garamond" w:cs="Times New Roman"/>
          <w:sz w:val="26"/>
          <w:szCs w:val="26"/>
        </w:rPr>
        <w:t>?</w:t>
      </w:r>
    </w:p>
    <w:p w14:paraId="17A8D07C" w14:textId="77777777" w:rsidR="00F07085" w:rsidRPr="009558FC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07D0785" w14:textId="77777777" w:rsidR="00F07085" w:rsidRPr="009558FC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BCA859" w14:textId="77777777" w:rsidR="00F07085" w:rsidRPr="009558FC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7CDA8C" w14:textId="77777777" w:rsidR="00F07085" w:rsidRPr="009558FC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698EF9E" w14:textId="77777777" w:rsidR="00F07085" w:rsidRPr="009558FC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C7A598" w14:textId="77777777" w:rsidR="00F07085" w:rsidRPr="009558FC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B783CA" w14:textId="77777777" w:rsidR="00F07085" w:rsidRPr="009558FC" w:rsidRDefault="00F07085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EA2F5A7" w14:textId="77777777" w:rsidR="009218D7" w:rsidRPr="009558FC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5EB1930" w14:textId="77777777" w:rsidR="009218D7" w:rsidRPr="009558FC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580BE54" w14:textId="77777777" w:rsidR="009218D7" w:rsidRPr="009558FC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FB154FD" w14:textId="77777777" w:rsidR="009218D7" w:rsidRPr="009558FC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ACA1FE7" w14:textId="63D39944" w:rsidR="009218D7" w:rsidRPr="009558FC" w:rsidRDefault="009218D7" w:rsidP="00F07085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F7D7E3C" w14:textId="26A677E6" w:rsidR="009558FC" w:rsidRPr="009558FC" w:rsidRDefault="009558FC" w:rsidP="005A101A">
      <w:pPr>
        <w:rPr>
          <w:rFonts w:ascii="Garamond" w:hAnsi="Garamond" w:cs="Times New Roman"/>
          <w:i/>
          <w:iCs/>
          <w:sz w:val="26"/>
          <w:szCs w:val="26"/>
        </w:rPr>
      </w:pPr>
      <w:r w:rsidRPr="009558FC">
        <w:rPr>
          <w:rFonts w:ascii="Garamond" w:hAnsi="Garamond" w:cs="Times New Roman"/>
          <w:b/>
          <w:bCs/>
          <w:i/>
          <w:iCs/>
          <w:sz w:val="26"/>
          <w:szCs w:val="26"/>
        </w:rPr>
        <w:t>Quincy Hall</w:t>
      </w:r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diácono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encargado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de la Iglesia Episcopal de San Marcos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Birmingham y de la Iglesia Episcopal de San Andrés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Montevallo. Le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apasiona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predicar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buena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nueva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a un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mundo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herido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ayudar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a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la Iglesia se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convierta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un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lugar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belleza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, misericordia,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justicia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pertenencia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.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Franciscano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corazón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comparte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vida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con Francis,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schnauzer y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gerente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no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oficial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oficina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quien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le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recuerda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que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debe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tomarse un tiempo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para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tomar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aire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fresco y </w:t>
      </w:r>
      <w:proofErr w:type="spellStart"/>
      <w:r w:rsidRPr="009558FC">
        <w:rPr>
          <w:rFonts w:ascii="Garamond" w:hAnsi="Garamond" w:cs="Times New Roman"/>
          <w:i/>
          <w:iCs/>
          <w:sz w:val="26"/>
          <w:szCs w:val="26"/>
        </w:rPr>
        <w:t>divertirse</w:t>
      </w:r>
      <w:proofErr w:type="spellEnd"/>
      <w:r w:rsidRPr="009558FC">
        <w:rPr>
          <w:rFonts w:ascii="Garamond" w:hAnsi="Garamond" w:cs="Times New Roman"/>
          <w:i/>
          <w:iCs/>
          <w:sz w:val="26"/>
          <w:szCs w:val="26"/>
        </w:rPr>
        <w:t xml:space="preserve"> un poco</w:t>
      </w:r>
      <w:r w:rsidRPr="009558FC">
        <w:rPr>
          <w:rFonts w:ascii="Garamond" w:hAnsi="Garamond" w:cs="Times New Roman"/>
          <w:i/>
          <w:iCs/>
          <w:sz w:val="26"/>
          <w:szCs w:val="26"/>
        </w:rPr>
        <w:t>.</w:t>
      </w:r>
    </w:p>
    <w:p w14:paraId="2627D94F" w14:textId="5FB936F0" w:rsidR="005A101A" w:rsidRPr="009558FC" w:rsidRDefault="005A101A" w:rsidP="005A101A">
      <w:pPr>
        <w:rPr>
          <w:rFonts w:ascii="Garamond" w:hAnsi="Garamond" w:cs="Times New Roman"/>
          <w:i/>
          <w:iCs/>
          <w:sz w:val="26"/>
          <w:szCs w:val="26"/>
        </w:rPr>
      </w:pPr>
      <w:r w:rsidRPr="009558FC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9558FC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9558FC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9558FC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5672" w14:textId="77777777" w:rsidR="00D35D4A" w:rsidRDefault="00D35D4A" w:rsidP="001104B8">
      <w:r>
        <w:separator/>
      </w:r>
    </w:p>
  </w:endnote>
  <w:endnote w:type="continuationSeparator" w:id="0">
    <w:p w14:paraId="282B83B4" w14:textId="77777777" w:rsidR="00D35D4A" w:rsidRDefault="00D35D4A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7C462603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9678" w14:textId="77777777" w:rsidR="00D35D4A" w:rsidRDefault="00D35D4A" w:rsidP="001104B8">
      <w:r>
        <w:separator/>
      </w:r>
    </w:p>
  </w:footnote>
  <w:footnote w:type="continuationSeparator" w:id="0">
    <w:p w14:paraId="67885FDA" w14:textId="77777777" w:rsidR="00D35D4A" w:rsidRDefault="00D35D4A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3"/>
  </w:num>
  <w:num w:numId="2" w16cid:durableId="1048457284">
    <w:abstractNumId w:val="16"/>
  </w:num>
  <w:num w:numId="3" w16cid:durableId="1314482960">
    <w:abstractNumId w:val="4"/>
  </w:num>
  <w:num w:numId="4" w16cid:durableId="1265841795">
    <w:abstractNumId w:val="0"/>
  </w:num>
  <w:num w:numId="5" w16cid:durableId="1680543349">
    <w:abstractNumId w:val="5"/>
  </w:num>
  <w:num w:numId="6" w16cid:durableId="995957169">
    <w:abstractNumId w:val="3"/>
  </w:num>
  <w:num w:numId="7" w16cid:durableId="1116219082">
    <w:abstractNumId w:val="17"/>
  </w:num>
  <w:num w:numId="8" w16cid:durableId="1720591526">
    <w:abstractNumId w:val="25"/>
  </w:num>
  <w:num w:numId="9" w16cid:durableId="1379355177">
    <w:abstractNumId w:val="15"/>
  </w:num>
  <w:num w:numId="10" w16cid:durableId="2011709476">
    <w:abstractNumId w:val="24"/>
  </w:num>
  <w:num w:numId="11" w16cid:durableId="412093803">
    <w:abstractNumId w:val="19"/>
  </w:num>
  <w:num w:numId="12" w16cid:durableId="66878406">
    <w:abstractNumId w:val="11"/>
  </w:num>
  <w:num w:numId="13" w16cid:durableId="2014337461">
    <w:abstractNumId w:val="1"/>
  </w:num>
  <w:num w:numId="14" w16cid:durableId="1496527691">
    <w:abstractNumId w:val="23"/>
  </w:num>
  <w:num w:numId="15" w16cid:durableId="744498450">
    <w:abstractNumId w:val="18"/>
  </w:num>
  <w:num w:numId="16" w16cid:durableId="1378898366">
    <w:abstractNumId w:val="6"/>
  </w:num>
  <w:num w:numId="17" w16cid:durableId="1423140075">
    <w:abstractNumId w:val="20"/>
  </w:num>
  <w:num w:numId="18" w16cid:durableId="856843553">
    <w:abstractNumId w:val="26"/>
  </w:num>
  <w:num w:numId="19" w16cid:durableId="1976370308">
    <w:abstractNumId w:val="22"/>
  </w:num>
  <w:num w:numId="20" w16cid:durableId="492070255">
    <w:abstractNumId w:val="9"/>
  </w:num>
  <w:num w:numId="21" w16cid:durableId="1853646325">
    <w:abstractNumId w:val="10"/>
  </w:num>
  <w:num w:numId="22" w16cid:durableId="1002781264">
    <w:abstractNumId w:val="12"/>
  </w:num>
  <w:num w:numId="23" w16cid:durableId="1461414369">
    <w:abstractNumId w:val="7"/>
  </w:num>
  <w:num w:numId="24" w16cid:durableId="729501039">
    <w:abstractNumId w:val="8"/>
  </w:num>
  <w:num w:numId="25" w16cid:durableId="1863739589">
    <w:abstractNumId w:val="14"/>
  </w:num>
  <w:num w:numId="26" w16cid:durableId="1665353028">
    <w:abstractNumId w:val="21"/>
  </w:num>
  <w:num w:numId="27" w16cid:durableId="63387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22708D"/>
    <w:rsid w:val="002539DC"/>
    <w:rsid w:val="002805BC"/>
    <w:rsid w:val="00282E3F"/>
    <w:rsid w:val="00291E6B"/>
    <w:rsid w:val="0029482E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8238F"/>
    <w:rsid w:val="004D65FB"/>
    <w:rsid w:val="004F1848"/>
    <w:rsid w:val="005015DF"/>
    <w:rsid w:val="00560BE2"/>
    <w:rsid w:val="00565BC5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C0A79"/>
    <w:rsid w:val="009D0E2C"/>
    <w:rsid w:val="009D4D98"/>
    <w:rsid w:val="00A23E9A"/>
    <w:rsid w:val="00A57D2B"/>
    <w:rsid w:val="00A76028"/>
    <w:rsid w:val="00A85FA2"/>
    <w:rsid w:val="00A8736E"/>
    <w:rsid w:val="00A91335"/>
    <w:rsid w:val="00AC7E2F"/>
    <w:rsid w:val="00AD7EEF"/>
    <w:rsid w:val="00B26344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4302C"/>
    <w:rsid w:val="00C8399E"/>
    <w:rsid w:val="00C87471"/>
    <w:rsid w:val="00CB1216"/>
    <w:rsid w:val="00CE31E9"/>
    <w:rsid w:val="00D212A9"/>
    <w:rsid w:val="00D21FEE"/>
    <w:rsid w:val="00D320B1"/>
    <w:rsid w:val="00D35D4A"/>
    <w:rsid w:val="00D40673"/>
    <w:rsid w:val="00D51FC6"/>
    <w:rsid w:val="00D57D0E"/>
    <w:rsid w:val="00D62514"/>
    <w:rsid w:val="00D82F49"/>
    <w:rsid w:val="00DA4BF9"/>
    <w:rsid w:val="00DD6244"/>
    <w:rsid w:val="00E003DA"/>
    <w:rsid w:val="00E06018"/>
    <w:rsid w:val="00E462AF"/>
    <w:rsid w:val="00E469ED"/>
    <w:rsid w:val="00E7203F"/>
    <w:rsid w:val="00EC3343"/>
    <w:rsid w:val="00ED57C2"/>
    <w:rsid w:val="00F07085"/>
    <w:rsid w:val="00F25FAD"/>
    <w:rsid w:val="00F30652"/>
    <w:rsid w:val="00FC2496"/>
    <w:rsid w:val="00FD1752"/>
    <w:rsid w:val="00FD3427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1357</Words>
  <Characters>6492</Characters>
  <Application>Microsoft Office Word</Application>
  <DocSecurity>0</DocSecurity>
  <Lines>132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2026-04-20T14:27:00Z</cp:lastPrinted>
  <dcterms:created xsi:type="dcterms:W3CDTF">2026-04-20T14:29:00Z</dcterms:created>
  <dcterms:modified xsi:type="dcterms:W3CDTF">2026-04-20T14:47:00Z</dcterms:modified>
</cp:coreProperties>
</file>