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B358E20" w:rsidR="001E5E43" w:rsidRPr="006604FA" w:rsidRDefault="003C45B7" w:rsidP="00BC34A6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6604FA">
        <w:rPr>
          <w:rFonts w:ascii="Garamond" w:eastAsia="Calibri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5B411146" wp14:editId="72AF7209">
            <wp:extent cx="1830424" cy="1246094"/>
            <wp:effectExtent l="0" t="0" r="0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919" cy="132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6F5F4B43" w:rsidR="008F7ABC" w:rsidRPr="006604FA" w:rsidRDefault="008F7ABC" w:rsidP="00BC34A6">
      <w:pPr>
        <w:spacing w:after="0" w:line="240" w:lineRule="auto"/>
        <w:rPr>
          <w:rFonts w:ascii="Garamond" w:eastAsia="Calibri" w:hAnsi="Garamond"/>
          <w:bCs/>
          <w:sz w:val="24"/>
          <w:szCs w:val="24"/>
        </w:rPr>
      </w:pPr>
    </w:p>
    <w:p w14:paraId="5D3F8D0B" w14:textId="77777777" w:rsidR="00BC34A6" w:rsidRPr="001C44DC" w:rsidRDefault="00BC34A6" w:rsidP="00BC34A6">
      <w:pPr>
        <w:spacing w:after="0" w:line="240" w:lineRule="auto"/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</w:pPr>
      <w:r w:rsidRPr="001C44DC">
        <w:rPr>
          <w:rFonts w:ascii="Garamond" w:hAnsi="Garamond"/>
          <w:b/>
          <w:sz w:val="26"/>
          <w:szCs w:val="26"/>
          <w:lang w:val="es-ES" w:eastAsia="es"/>
        </w:rPr>
        <w:t xml:space="preserve">6 de febrero de 2022 - </w:t>
      </w:r>
      <w:r w:rsidRPr="001C44DC"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 xml:space="preserve">Inserto especial para el boletín </w:t>
      </w:r>
    </w:p>
    <w:p w14:paraId="6A12D42F" w14:textId="690CA173" w:rsidR="00BC34A6" w:rsidRPr="001C44DC" w:rsidRDefault="00BC34A6" w:rsidP="00BC34A6">
      <w:pPr>
        <w:spacing w:after="0" w:line="240" w:lineRule="auto"/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</w:pPr>
      <w:r w:rsidRPr="001C44DC"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 xml:space="preserve">El Fondo Absalón Jones para HBCU episcopales </w:t>
      </w:r>
    </w:p>
    <w:p w14:paraId="6F62EC35" w14:textId="09CF6437" w:rsidR="00BC34A6" w:rsidRPr="001C44DC" w:rsidRDefault="00BC34A6" w:rsidP="00BC34A6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410CA4FD" w14:textId="7AC06C80" w:rsidR="00BC34A6" w:rsidRPr="001C44DC" w:rsidRDefault="00BC34A6" w:rsidP="00BC34A6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 xml:space="preserve">El Obispo </w:t>
      </w:r>
      <w:proofErr w:type="gramStart"/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>Presidente</w:t>
      </w:r>
      <w:proofErr w:type="gramEnd"/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 xml:space="preserve"> de la Iglesia Episcopal, Michael Curry, invita a personas de todos los orígenes y religiones a apoyar el trabajo lleno de esperanza y de impacto en la vida de dos instituciones de educación superior históricamente negras mediante donaciones y ofrendas dedicadas en la fiesta de Absalón Jones, el primer sacerdote negro ordenado por la Iglesia — observado el 13 de febrero. </w:t>
      </w:r>
    </w:p>
    <w:p w14:paraId="1D2261F1" w14:textId="77777777" w:rsidR="00BC34A6" w:rsidRPr="001C44DC" w:rsidRDefault="00BC34A6" w:rsidP="00BC34A6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</w:p>
    <w:p w14:paraId="4B1420D5" w14:textId="77777777" w:rsidR="00BC34A6" w:rsidRPr="001C44DC" w:rsidRDefault="00BC34A6" w:rsidP="00BC34A6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 xml:space="preserve">La Universidad de San Agustín en Raleigh, Carolina del Norte, y el </w:t>
      </w:r>
      <w:proofErr w:type="spellStart"/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>Voorhees</w:t>
      </w:r>
      <w:proofErr w:type="spellEnd"/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 xml:space="preserve"> Colegio en Dinamarca, Carolina del Sur, se fundaron después de la Guerra Civil para crear oportunidades educativas para personas anteriormente esclavizadas. Brindan educación en artes liberales a miles de estudiantes, así como también ofrecen ministerios sólidos en el campus para ayudar a formar a los adultos jóvenes como seguidores de Jesús y su camino de amar.</w:t>
      </w:r>
    </w:p>
    <w:p w14:paraId="5E3C73C1" w14:textId="77777777" w:rsidR="00BC34A6" w:rsidRPr="001C44DC" w:rsidRDefault="00BC34A6" w:rsidP="00BC34A6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72F0862A" w14:textId="77777777" w:rsidR="00BC34A6" w:rsidRDefault="00BC34A6" w:rsidP="00BC34A6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 xml:space="preserve">“Históricamente, los colegios y universidades negros (HBCU) son motores esenciales de justicia, equidad y movilidad social”, dijo Curry. “Brindan educación de alta calidad a estudiantes cuyos antecedentes y experiencias pueden no haberlos preparado bien para el éxito universitario. Fomentan el talento </w:t>
      </w:r>
    </w:p>
    <w:p w14:paraId="15EDE4F3" w14:textId="77777777" w:rsidR="00BC34A6" w:rsidRDefault="00BC34A6" w:rsidP="00BC34A6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367F8F5A" w14:textId="77777777" w:rsidR="00BC34A6" w:rsidRPr="006604FA" w:rsidRDefault="00BC34A6" w:rsidP="00BC34A6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6604FA">
        <w:rPr>
          <w:rFonts w:ascii="Garamond" w:eastAsia="Calibri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4549C301" wp14:editId="39CAD85D">
            <wp:extent cx="1830424" cy="1246094"/>
            <wp:effectExtent l="0" t="0" r="0" b="0"/>
            <wp:docPr id="4" name="Picture 4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919" cy="132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B5080" w14:textId="77777777" w:rsidR="00BC34A6" w:rsidRPr="006604FA" w:rsidRDefault="00BC34A6" w:rsidP="00BC34A6">
      <w:pPr>
        <w:spacing w:after="0" w:line="240" w:lineRule="auto"/>
        <w:rPr>
          <w:rFonts w:ascii="Garamond" w:eastAsia="Calibri" w:hAnsi="Garamond"/>
          <w:bCs/>
          <w:sz w:val="24"/>
          <w:szCs w:val="24"/>
        </w:rPr>
      </w:pPr>
    </w:p>
    <w:p w14:paraId="053C326B" w14:textId="77777777" w:rsidR="00BC34A6" w:rsidRPr="001C44DC" w:rsidRDefault="00BC34A6" w:rsidP="00BC34A6">
      <w:pPr>
        <w:spacing w:after="0" w:line="240" w:lineRule="auto"/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</w:pPr>
      <w:r w:rsidRPr="001C44DC">
        <w:rPr>
          <w:rFonts w:ascii="Garamond" w:hAnsi="Garamond"/>
          <w:b/>
          <w:sz w:val="26"/>
          <w:szCs w:val="26"/>
          <w:lang w:val="es-ES" w:eastAsia="es"/>
        </w:rPr>
        <w:t xml:space="preserve">6 de febrero de 2022 - </w:t>
      </w:r>
      <w:r w:rsidRPr="001C44DC"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 xml:space="preserve">Inserto especial para el boletín </w:t>
      </w:r>
    </w:p>
    <w:p w14:paraId="7166E645" w14:textId="77777777" w:rsidR="00BC34A6" w:rsidRPr="001C44DC" w:rsidRDefault="00BC34A6" w:rsidP="00BC34A6">
      <w:pPr>
        <w:spacing w:after="0" w:line="240" w:lineRule="auto"/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</w:pPr>
      <w:r w:rsidRPr="001C44DC"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 xml:space="preserve">El Fondo Absalón Jones para HBCU episcopales </w:t>
      </w:r>
    </w:p>
    <w:p w14:paraId="139CD623" w14:textId="77777777" w:rsidR="00BC34A6" w:rsidRPr="001C44DC" w:rsidRDefault="00BC34A6" w:rsidP="00BC34A6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02CFB3F1" w14:textId="77777777" w:rsidR="00BC34A6" w:rsidRPr="001C44DC" w:rsidRDefault="00BC34A6" w:rsidP="00BC34A6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 xml:space="preserve">El Obispo </w:t>
      </w:r>
      <w:proofErr w:type="gramStart"/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>Presidente</w:t>
      </w:r>
      <w:proofErr w:type="gramEnd"/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 xml:space="preserve"> de la Iglesia Episcopal, Michael Curry, invita a personas de todos los orígenes y religiones a apoyar el trabajo lleno de esperanza y de impacto en la vida de dos instituciones de educación superior históricamente negras mediante donaciones y ofrendas dedicadas en la fiesta de Absalón Jones, el primer sacerdote negro ordenado por la Iglesia — observado el 13 de febrero. </w:t>
      </w:r>
    </w:p>
    <w:p w14:paraId="7536D301" w14:textId="77777777" w:rsidR="00BC34A6" w:rsidRPr="001C44DC" w:rsidRDefault="00BC34A6" w:rsidP="00BC34A6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</w:p>
    <w:p w14:paraId="5349BEE2" w14:textId="77777777" w:rsidR="00BC34A6" w:rsidRPr="001C44DC" w:rsidRDefault="00BC34A6" w:rsidP="00BC34A6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 xml:space="preserve">La Universidad de San Agustín en Raleigh, Carolina del Norte, y el </w:t>
      </w:r>
      <w:proofErr w:type="spellStart"/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>Voorhees</w:t>
      </w:r>
      <w:proofErr w:type="spellEnd"/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 xml:space="preserve"> Colegio en Dinamarca, Carolina del Sur, se fundaron después de la Guerra Civil para crear oportunidades educativas para personas anteriormente esclavizadas. Brindan educación en artes liberales a miles de estudiantes, así como también ofrecen ministerios sólidos en el campus para ayudar a formar a los adultos jóvenes como seguidores de Jesús y su camino de amar.</w:t>
      </w:r>
    </w:p>
    <w:p w14:paraId="4F2CB5B3" w14:textId="77777777" w:rsidR="00BC34A6" w:rsidRPr="001C44DC" w:rsidRDefault="00BC34A6" w:rsidP="00BC34A6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01436674" w14:textId="77777777" w:rsidR="00BC34A6" w:rsidRDefault="00BC34A6" w:rsidP="00BC34A6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 xml:space="preserve">“Históricamente, los colegios y universidades negros (HBCU) son motores esenciales de justicia, equidad y movilidad social”, dijo Curry. “Brindan educación de alta calidad a estudiantes cuyos antecedentes y experiencias pueden no haberlos preparado bien para el éxito universitario. Fomentan el talento </w:t>
      </w:r>
    </w:p>
    <w:p w14:paraId="11BE1C20" w14:textId="77777777" w:rsidR="00BC34A6" w:rsidRDefault="00BC34A6" w:rsidP="00BC34A6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50318DED" w14:textId="3223CF25" w:rsidR="00BC34A6" w:rsidRPr="001C44DC" w:rsidRDefault="00BC34A6" w:rsidP="00BC34A6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lastRenderedPageBreak/>
        <w:t xml:space="preserve">que, de otro modo, se habría visto desanimado por los obstáculos”. </w:t>
      </w:r>
    </w:p>
    <w:p w14:paraId="181E9CA2" w14:textId="73557F0B" w:rsidR="00BC34A6" w:rsidRPr="001C44DC" w:rsidRDefault="00BC34A6" w:rsidP="00BC34A6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</w:p>
    <w:p w14:paraId="696BBD07" w14:textId="42143993" w:rsidR="00BC34A6" w:rsidRPr="001C44DC" w:rsidRDefault="00BC34A6" w:rsidP="00BC34A6">
      <w:pPr>
        <w:pStyle w:val="NormalWeb"/>
        <w:spacing w:before="0" w:beforeAutospacing="0" w:after="0" w:afterAutospacing="0" w:line="240" w:lineRule="auto"/>
        <w:rPr>
          <w:rFonts w:ascii="Garamond" w:hAnsi="Garamond"/>
          <w:sz w:val="26"/>
          <w:szCs w:val="26"/>
          <w:lang w:val="es-ES"/>
        </w:rPr>
      </w:pPr>
      <w:r w:rsidRPr="001C44DC">
        <w:rPr>
          <w:rFonts w:ascii="Garamond" w:eastAsia="Times New Roman" w:hAnsi="Garamond"/>
          <w:sz w:val="26"/>
          <w:szCs w:val="26"/>
          <w:lang w:val="es-ES"/>
        </w:rPr>
        <w:t xml:space="preserve">Las donaciones a las HBCU (divididas en partes iguales entre las dos) ayudan a financiar becas y ayuda financiera para los estudiantes que lo necesiten, así como fondos para instalaciones de calidad, reclutamiento y retención de profesores y el desarrollo de la vida religiosa en el campus. </w:t>
      </w:r>
      <w:proofErr w:type="spellStart"/>
      <w:r w:rsidRPr="001C44DC">
        <w:rPr>
          <w:rFonts w:ascii="Garamond" w:eastAsia="Times New Roman" w:hAnsi="Garamond"/>
          <w:sz w:val="26"/>
          <w:szCs w:val="26"/>
          <w:lang w:val="es-ES"/>
        </w:rPr>
        <w:t>Voorhees</w:t>
      </w:r>
      <w:proofErr w:type="spellEnd"/>
      <w:r w:rsidRPr="001C44DC">
        <w:rPr>
          <w:rFonts w:ascii="Garamond" w:eastAsia="Times New Roman" w:hAnsi="Garamond"/>
          <w:sz w:val="26"/>
          <w:szCs w:val="26"/>
          <w:lang w:val="es-ES"/>
        </w:rPr>
        <w:t xml:space="preserve"> y Saint </w:t>
      </w:r>
      <w:proofErr w:type="spellStart"/>
      <w:r w:rsidRPr="001C44DC">
        <w:rPr>
          <w:rFonts w:ascii="Garamond" w:eastAsia="Times New Roman" w:hAnsi="Garamond"/>
          <w:sz w:val="26"/>
          <w:szCs w:val="26"/>
          <w:lang w:val="es-ES"/>
        </w:rPr>
        <w:t>Augustine's</w:t>
      </w:r>
      <w:proofErr w:type="spellEnd"/>
      <w:r w:rsidRPr="001C44DC">
        <w:rPr>
          <w:rFonts w:ascii="Garamond" w:eastAsia="Times New Roman" w:hAnsi="Garamond"/>
          <w:sz w:val="26"/>
          <w:szCs w:val="26"/>
          <w:lang w:val="es-ES"/>
        </w:rPr>
        <w:t xml:space="preserve"> buscan construir programas sólidos en los campos STEM y las ciencias de la salud a medida que superan las presiones financieras creadas por COVID-19.</w:t>
      </w:r>
    </w:p>
    <w:p w14:paraId="653FAF00" w14:textId="59909FA9" w:rsidR="00BC34A6" w:rsidRPr="001C44DC" w:rsidRDefault="00BC34A6" w:rsidP="00BC34A6">
      <w:pPr>
        <w:pStyle w:val="NormalWeb"/>
        <w:spacing w:before="0" w:beforeAutospacing="0" w:after="0" w:afterAutospacing="0" w:line="240" w:lineRule="auto"/>
        <w:rPr>
          <w:rFonts w:ascii="Garamond" w:hAnsi="Garamond"/>
          <w:sz w:val="26"/>
          <w:szCs w:val="26"/>
          <w:lang w:val="es-ES"/>
        </w:rPr>
      </w:pPr>
    </w:p>
    <w:p w14:paraId="57297DB2" w14:textId="7919CA4B" w:rsidR="00BC34A6" w:rsidRPr="001C44DC" w:rsidRDefault="00BC34A6" w:rsidP="00BC34A6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 xml:space="preserve">Apoyar a las HBCU es una inversión en el ministerio de reconciliación y la construcción de un futuro mejor para todos, dijo Curry. “Por mucho que le demos a estas instituciones, ellas le devuelven a nuestro mundo con abundancia”, dijo. </w:t>
      </w:r>
    </w:p>
    <w:p w14:paraId="6DC808AD" w14:textId="47106113" w:rsidR="00BC34A6" w:rsidRPr="001C44DC" w:rsidRDefault="00BC34A6" w:rsidP="00BC34A6">
      <w:pPr>
        <w:pStyle w:val="NormalWeb"/>
        <w:spacing w:before="0" w:beforeAutospacing="0" w:after="0" w:afterAutospacing="0" w:line="240" w:lineRule="auto"/>
        <w:rPr>
          <w:rFonts w:ascii="Garamond" w:hAnsi="Garamond"/>
          <w:sz w:val="26"/>
          <w:szCs w:val="26"/>
          <w:lang w:val="es-ES"/>
        </w:rPr>
      </w:pPr>
    </w:p>
    <w:p w14:paraId="2E01CE15" w14:textId="5A68ECF8" w:rsidR="00BC34A6" w:rsidRPr="001C44DC" w:rsidRDefault="00BC34A6" w:rsidP="00BC34A6">
      <w:pPr>
        <w:pStyle w:val="NormalWeb"/>
        <w:spacing w:before="0" w:beforeAutospacing="0" w:after="0" w:afterAutospacing="0" w:line="240" w:lineRule="auto"/>
        <w:rPr>
          <w:rFonts w:ascii="Garamond" w:eastAsia="Times New Roman" w:hAnsi="Garamond"/>
          <w:sz w:val="26"/>
          <w:szCs w:val="26"/>
          <w:lang w:val="es-ES"/>
        </w:rPr>
      </w:pPr>
      <w:r w:rsidRPr="001C44DC">
        <w:rPr>
          <w:noProof/>
          <w:sz w:val="26"/>
          <w:szCs w:val="26"/>
          <w:lang w:val="es-ES"/>
        </w:rPr>
        <w:drawing>
          <wp:anchor distT="0" distB="0" distL="114300" distR="114300" simplePos="0" relativeHeight="251659264" behindDoc="0" locked="0" layoutInCell="1" allowOverlap="1" wp14:anchorId="0A333DC8" wp14:editId="109A6000">
            <wp:simplePos x="0" y="0"/>
            <wp:positionH relativeFrom="column">
              <wp:posOffset>1884680</wp:posOffset>
            </wp:positionH>
            <wp:positionV relativeFrom="paragraph">
              <wp:posOffset>116205</wp:posOffset>
            </wp:positionV>
            <wp:extent cx="1962150" cy="2372995"/>
            <wp:effectExtent l="12700" t="12700" r="19050" b="14605"/>
            <wp:wrapSquare wrapText="bothSides"/>
            <wp:docPr id="3" name="Picture 3" descr="A painting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ainting of a pers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72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4DC">
        <w:rPr>
          <w:rFonts w:ascii="Garamond" w:eastAsia="Times New Roman" w:hAnsi="Garamond"/>
          <w:b/>
          <w:bCs/>
          <w:sz w:val="26"/>
          <w:szCs w:val="26"/>
          <w:lang w:val="es-ES"/>
        </w:rPr>
        <w:t>Para donar:</w:t>
      </w:r>
      <w:r w:rsidRPr="001C44DC">
        <w:rPr>
          <w:rFonts w:ascii="Garamond" w:eastAsia="Times New Roman" w:hAnsi="Garamond"/>
          <w:sz w:val="26"/>
          <w:szCs w:val="26"/>
          <w:lang w:val="es-ES"/>
        </w:rPr>
        <w:t xml:space="preserve"> Haga una donación en línea en </w:t>
      </w:r>
      <w:r w:rsidRPr="001C44DC">
        <w:rPr>
          <w:rFonts w:ascii="Garamond" w:eastAsia="Times New Roman" w:hAnsi="Garamond"/>
          <w:i/>
          <w:iCs/>
          <w:sz w:val="26"/>
          <w:szCs w:val="26"/>
          <w:lang w:val="es-ES"/>
        </w:rPr>
        <w:t>iam.ec/</w:t>
      </w:r>
      <w:proofErr w:type="spellStart"/>
      <w:r w:rsidRPr="001C44DC">
        <w:rPr>
          <w:rFonts w:ascii="Garamond" w:eastAsia="Times New Roman" w:hAnsi="Garamond"/>
          <w:i/>
          <w:iCs/>
          <w:sz w:val="26"/>
          <w:szCs w:val="26"/>
          <w:lang w:val="es-ES"/>
        </w:rPr>
        <w:t>givehbcu</w:t>
      </w:r>
      <w:proofErr w:type="spellEnd"/>
      <w:r w:rsidRPr="001C44DC">
        <w:rPr>
          <w:rFonts w:ascii="Garamond" w:eastAsia="Times New Roman" w:hAnsi="Garamond"/>
          <w:i/>
          <w:iCs/>
          <w:sz w:val="26"/>
          <w:szCs w:val="26"/>
          <w:lang w:val="es-ES"/>
        </w:rPr>
        <w:t>,</w:t>
      </w:r>
      <w:r w:rsidRPr="001C44DC">
        <w:rPr>
          <w:rFonts w:ascii="Garamond" w:eastAsia="Times New Roman" w:hAnsi="Garamond"/>
          <w:sz w:val="26"/>
          <w:szCs w:val="26"/>
          <w:lang w:val="es-ES"/>
        </w:rPr>
        <w:t xml:space="preserve"> o envíe un mensaje de texto con GIVEHBCU al 41444.</w:t>
      </w:r>
    </w:p>
    <w:p w14:paraId="164BD193" w14:textId="2212792D" w:rsidR="00BC34A6" w:rsidRPr="001C44DC" w:rsidRDefault="00BC34A6" w:rsidP="00BC34A6">
      <w:pPr>
        <w:pStyle w:val="NormalWeb"/>
        <w:spacing w:before="0" w:beforeAutospacing="0" w:after="0" w:afterAutospacing="0" w:line="240" w:lineRule="auto"/>
        <w:rPr>
          <w:rFonts w:ascii="Garamond" w:hAnsi="Garamond"/>
          <w:b/>
          <w:bCs/>
          <w:sz w:val="26"/>
          <w:szCs w:val="26"/>
          <w:lang w:val="es-ES"/>
        </w:rPr>
      </w:pPr>
    </w:p>
    <w:p w14:paraId="75B3B4FD" w14:textId="1605DF8C" w:rsidR="00BC34A6" w:rsidRPr="001C44DC" w:rsidRDefault="00BC34A6" w:rsidP="00BC34A6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 xml:space="preserve">Para preguntas o información adicional, envíe un correo electrónico a Cecilia </w:t>
      </w:r>
      <w:proofErr w:type="spellStart"/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>Malm</w:t>
      </w:r>
      <w:proofErr w:type="spellEnd"/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 xml:space="preserve">, directora asociada / oficial senior de desarrollo, a </w:t>
      </w:r>
      <w:r w:rsidRPr="001C44DC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cmalm@episcopalchurch.org</w:t>
      </w:r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 xml:space="preserve">, o llame al (212) 716-6062. </w:t>
      </w:r>
    </w:p>
    <w:p w14:paraId="425CF1E1" w14:textId="4B6E90F9" w:rsidR="00B1638B" w:rsidRDefault="00B1638B" w:rsidP="00BC34A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8CF05BB" w14:textId="77777777" w:rsidR="00BC34A6" w:rsidRPr="001C44DC" w:rsidRDefault="00BC34A6" w:rsidP="00BC34A6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 xml:space="preserve">que, de otro modo, se habría visto desanimado por los obstáculos”. </w:t>
      </w:r>
    </w:p>
    <w:p w14:paraId="791BA561" w14:textId="77777777" w:rsidR="00BC34A6" w:rsidRPr="001C44DC" w:rsidRDefault="00BC34A6" w:rsidP="00BC34A6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</w:p>
    <w:p w14:paraId="34A48143" w14:textId="77777777" w:rsidR="00BC34A6" w:rsidRPr="001C44DC" w:rsidRDefault="00BC34A6" w:rsidP="00BC34A6">
      <w:pPr>
        <w:pStyle w:val="NormalWeb"/>
        <w:spacing w:before="0" w:beforeAutospacing="0" w:after="0" w:afterAutospacing="0" w:line="240" w:lineRule="auto"/>
        <w:rPr>
          <w:rFonts w:ascii="Garamond" w:hAnsi="Garamond"/>
          <w:sz w:val="26"/>
          <w:szCs w:val="26"/>
          <w:lang w:val="es-ES"/>
        </w:rPr>
      </w:pPr>
      <w:r w:rsidRPr="001C44DC">
        <w:rPr>
          <w:rFonts w:ascii="Garamond" w:eastAsia="Times New Roman" w:hAnsi="Garamond"/>
          <w:sz w:val="26"/>
          <w:szCs w:val="26"/>
          <w:lang w:val="es-ES"/>
        </w:rPr>
        <w:t xml:space="preserve">Las donaciones a las HBCU (divididas en partes iguales entre las dos) ayudan a financiar becas y ayuda financiera para los estudiantes que lo necesiten, así como fondos para instalaciones de calidad, reclutamiento y retención de profesores y el desarrollo de la vida religiosa en el campus. </w:t>
      </w:r>
      <w:proofErr w:type="spellStart"/>
      <w:r w:rsidRPr="001C44DC">
        <w:rPr>
          <w:rFonts w:ascii="Garamond" w:eastAsia="Times New Roman" w:hAnsi="Garamond"/>
          <w:sz w:val="26"/>
          <w:szCs w:val="26"/>
          <w:lang w:val="es-ES"/>
        </w:rPr>
        <w:t>Voorhees</w:t>
      </w:r>
      <w:proofErr w:type="spellEnd"/>
      <w:r w:rsidRPr="001C44DC">
        <w:rPr>
          <w:rFonts w:ascii="Garamond" w:eastAsia="Times New Roman" w:hAnsi="Garamond"/>
          <w:sz w:val="26"/>
          <w:szCs w:val="26"/>
          <w:lang w:val="es-ES"/>
        </w:rPr>
        <w:t xml:space="preserve"> y Saint </w:t>
      </w:r>
      <w:proofErr w:type="spellStart"/>
      <w:r w:rsidRPr="001C44DC">
        <w:rPr>
          <w:rFonts w:ascii="Garamond" w:eastAsia="Times New Roman" w:hAnsi="Garamond"/>
          <w:sz w:val="26"/>
          <w:szCs w:val="26"/>
          <w:lang w:val="es-ES"/>
        </w:rPr>
        <w:t>Augustine's</w:t>
      </w:r>
      <w:proofErr w:type="spellEnd"/>
      <w:r w:rsidRPr="001C44DC">
        <w:rPr>
          <w:rFonts w:ascii="Garamond" w:eastAsia="Times New Roman" w:hAnsi="Garamond"/>
          <w:sz w:val="26"/>
          <w:szCs w:val="26"/>
          <w:lang w:val="es-ES"/>
        </w:rPr>
        <w:t xml:space="preserve"> buscan construir programas sólidos en los campos STEM y las ciencias de la salud a medida que superan las presiones financieras creadas por COVID-19.</w:t>
      </w:r>
    </w:p>
    <w:p w14:paraId="25FFA71B" w14:textId="77777777" w:rsidR="00BC34A6" w:rsidRPr="001C44DC" w:rsidRDefault="00BC34A6" w:rsidP="00BC34A6">
      <w:pPr>
        <w:pStyle w:val="NormalWeb"/>
        <w:spacing w:before="0" w:beforeAutospacing="0" w:after="0" w:afterAutospacing="0" w:line="240" w:lineRule="auto"/>
        <w:rPr>
          <w:rFonts w:ascii="Garamond" w:hAnsi="Garamond"/>
          <w:sz w:val="26"/>
          <w:szCs w:val="26"/>
          <w:lang w:val="es-ES"/>
        </w:rPr>
      </w:pPr>
    </w:p>
    <w:p w14:paraId="5BBA8063" w14:textId="77777777" w:rsidR="00BC34A6" w:rsidRPr="001C44DC" w:rsidRDefault="00BC34A6" w:rsidP="00BC34A6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 xml:space="preserve">Apoyar a las HBCU es una inversión en el ministerio de reconciliación y la construcción de un futuro mejor para todos, dijo Curry. “Por mucho que le demos a estas instituciones, ellas le devuelven a nuestro mundo con abundancia”, dijo. </w:t>
      </w:r>
    </w:p>
    <w:p w14:paraId="1CDC3E0B" w14:textId="77777777" w:rsidR="00BC34A6" w:rsidRPr="001C44DC" w:rsidRDefault="00BC34A6" w:rsidP="00BC34A6">
      <w:pPr>
        <w:pStyle w:val="NormalWeb"/>
        <w:spacing w:before="0" w:beforeAutospacing="0" w:after="0" w:afterAutospacing="0" w:line="240" w:lineRule="auto"/>
        <w:rPr>
          <w:rFonts w:ascii="Garamond" w:hAnsi="Garamond"/>
          <w:sz w:val="26"/>
          <w:szCs w:val="26"/>
          <w:lang w:val="es-ES"/>
        </w:rPr>
      </w:pPr>
    </w:p>
    <w:p w14:paraId="4844EAF0" w14:textId="77777777" w:rsidR="00BC34A6" w:rsidRPr="001C44DC" w:rsidRDefault="00BC34A6" w:rsidP="00BC34A6">
      <w:pPr>
        <w:pStyle w:val="NormalWeb"/>
        <w:spacing w:before="0" w:beforeAutospacing="0" w:after="0" w:afterAutospacing="0" w:line="240" w:lineRule="auto"/>
        <w:rPr>
          <w:rFonts w:ascii="Garamond" w:eastAsia="Times New Roman" w:hAnsi="Garamond"/>
          <w:sz w:val="26"/>
          <w:szCs w:val="26"/>
          <w:lang w:val="es-ES"/>
        </w:rPr>
      </w:pPr>
      <w:r w:rsidRPr="001C44DC">
        <w:rPr>
          <w:noProof/>
          <w:sz w:val="26"/>
          <w:szCs w:val="26"/>
          <w:lang w:val="es-ES"/>
        </w:rPr>
        <w:drawing>
          <wp:anchor distT="0" distB="0" distL="114300" distR="114300" simplePos="0" relativeHeight="251661312" behindDoc="0" locked="0" layoutInCell="1" allowOverlap="1" wp14:anchorId="50392703" wp14:editId="3B9A9095">
            <wp:simplePos x="0" y="0"/>
            <wp:positionH relativeFrom="column">
              <wp:posOffset>1884680</wp:posOffset>
            </wp:positionH>
            <wp:positionV relativeFrom="paragraph">
              <wp:posOffset>116205</wp:posOffset>
            </wp:positionV>
            <wp:extent cx="1962150" cy="2372995"/>
            <wp:effectExtent l="12700" t="12700" r="19050" b="14605"/>
            <wp:wrapSquare wrapText="bothSides"/>
            <wp:docPr id="7" name="Picture 7" descr="A painting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ainting of a pers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72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4DC">
        <w:rPr>
          <w:rFonts w:ascii="Garamond" w:eastAsia="Times New Roman" w:hAnsi="Garamond"/>
          <w:b/>
          <w:bCs/>
          <w:sz w:val="26"/>
          <w:szCs w:val="26"/>
          <w:lang w:val="es-ES"/>
        </w:rPr>
        <w:t>Para donar:</w:t>
      </w:r>
      <w:r w:rsidRPr="001C44DC">
        <w:rPr>
          <w:rFonts w:ascii="Garamond" w:eastAsia="Times New Roman" w:hAnsi="Garamond"/>
          <w:sz w:val="26"/>
          <w:szCs w:val="26"/>
          <w:lang w:val="es-ES"/>
        </w:rPr>
        <w:t xml:space="preserve"> Haga una donación en línea en </w:t>
      </w:r>
      <w:r w:rsidRPr="001C44DC">
        <w:rPr>
          <w:rFonts w:ascii="Garamond" w:eastAsia="Times New Roman" w:hAnsi="Garamond"/>
          <w:i/>
          <w:iCs/>
          <w:sz w:val="26"/>
          <w:szCs w:val="26"/>
          <w:lang w:val="es-ES"/>
        </w:rPr>
        <w:t>iam.ec/</w:t>
      </w:r>
      <w:proofErr w:type="spellStart"/>
      <w:r w:rsidRPr="001C44DC">
        <w:rPr>
          <w:rFonts w:ascii="Garamond" w:eastAsia="Times New Roman" w:hAnsi="Garamond"/>
          <w:i/>
          <w:iCs/>
          <w:sz w:val="26"/>
          <w:szCs w:val="26"/>
          <w:lang w:val="es-ES"/>
        </w:rPr>
        <w:t>givehbcu</w:t>
      </w:r>
      <w:proofErr w:type="spellEnd"/>
      <w:r w:rsidRPr="001C44DC">
        <w:rPr>
          <w:rFonts w:ascii="Garamond" w:eastAsia="Times New Roman" w:hAnsi="Garamond"/>
          <w:i/>
          <w:iCs/>
          <w:sz w:val="26"/>
          <w:szCs w:val="26"/>
          <w:lang w:val="es-ES"/>
        </w:rPr>
        <w:t>,</w:t>
      </w:r>
      <w:r w:rsidRPr="001C44DC">
        <w:rPr>
          <w:rFonts w:ascii="Garamond" w:eastAsia="Times New Roman" w:hAnsi="Garamond"/>
          <w:sz w:val="26"/>
          <w:szCs w:val="26"/>
          <w:lang w:val="es-ES"/>
        </w:rPr>
        <w:t xml:space="preserve"> o envíe un mensaje de texto con GIVEHBCU al 41444.</w:t>
      </w:r>
    </w:p>
    <w:p w14:paraId="16F5C2D8" w14:textId="77777777" w:rsidR="00BC34A6" w:rsidRPr="001C44DC" w:rsidRDefault="00BC34A6" w:rsidP="00BC34A6">
      <w:pPr>
        <w:pStyle w:val="NormalWeb"/>
        <w:spacing w:before="0" w:beforeAutospacing="0" w:after="0" w:afterAutospacing="0" w:line="240" w:lineRule="auto"/>
        <w:rPr>
          <w:rFonts w:ascii="Garamond" w:hAnsi="Garamond"/>
          <w:b/>
          <w:bCs/>
          <w:sz w:val="26"/>
          <w:szCs w:val="26"/>
          <w:lang w:val="es-ES"/>
        </w:rPr>
      </w:pPr>
    </w:p>
    <w:p w14:paraId="6D40A126" w14:textId="77777777" w:rsidR="00BC34A6" w:rsidRPr="001C44DC" w:rsidRDefault="00BC34A6" w:rsidP="00BC34A6">
      <w:pPr>
        <w:spacing w:after="0" w:line="240" w:lineRule="auto"/>
        <w:rPr>
          <w:rFonts w:ascii="Garamond" w:hAnsi="Garamond"/>
          <w:sz w:val="26"/>
          <w:szCs w:val="26"/>
          <w:lang w:val="es-ES"/>
        </w:rPr>
      </w:pPr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 xml:space="preserve">Para preguntas o información adicional, envíe un correo electrónico a Cecilia </w:t>
      </w:r>
      <w:proofErr w:type="spellStart"/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>Malm</w:t>
      </w:r>
      <w:proofErr w:type="spellEnd"/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 xml:space="preserve">, directora asociada / oficial senior de desarrollo, a </w:t>
      </w:r>
      <w:r w:rsidRPr="001C44DC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cmalm@episcopalchurch.org</w:t>
      </w:r>
      <w:r w:rsidRPr="001C44DC">
        <w:rPr>
          <w:rFonts w:ascii="Garamond" w:eastAsia="Times New Roman" w:hAnsi="Garamond" w:cs="Times New Roman"/>
          <w:sz w:val="26"/>
          <w:szCs w:val="26"/>
          <w:lang w:val="es-ES"/>
        </w:rPr>
        <w:t xml:space="preserve">, o llame al (212) 716-6062. </w:t>
      </w:r>
    </w:p>
    <w:p w14:paraId="6BBC7B31" w14:textId="77777777" w:rsidR="00BC34A6" w:rsidRPr="006604FA" w:rsidRDefault="00BC34A6" w:rsidP="00BC34A6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BC34A6" w:rsidRPr="006604FA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36A6" w14:textId="77777777" w:rsidR="009E23AA" w:rsidRDefault="009E23AA" w:rsidP="005040FC">
      <w:r>
        <w:separator/>
      </w:r>
    </w:p>
  </w:endnote>
  <w:endnote w:type="continuationSeparator" w:id="0">
    <w:p w14:paraId="0D911F43" w14:textId="77777777" w:rsidR="009E23AA" w:rsidRDefault="009E23AA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B1C7" w14:textId="77777777" w:rsidR="009E23AA" w:rsidRDefault="009E23AA" w:rsidP="005040FC">
      <w:r>
        <w:separator/>
      </w:r>
    </w:p>
  </w:footnote>
  <w:footnote w:type="continuationSeparator" w:id="0">
    <w:p w14:paraId="0980D03B" w14:textId="77777777" w:rsidR="009E23AA" w:rsidRDefault="009E23AA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8"/>
  </w:num>
  <w:num w:numId="5">
    <w:abstractNumId w:val="5"/>
  </w:num>
  <w:num w:numId="6">
    <w:abstractNumId w:val="20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5"/>
  </w:num>
  <w:num w:numId="17">
    <w:abstractNumId w:val="16"/>
  </w:num>
  <w:num w:numId="18">
    <w:abstractNumId w:val="4"/>
  </w:num>
  <w:num w:numId="19">
    <w:abstractNumId w:val="19"/>
  </w:num>
  <w:num w:numId="20">
    <w:abstractNumId w:val="21"/>
  </w:num>
  <w:num w:numId="21">
    <w:abstractNumId w:val="2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7CF1"/>
    <w:rsid w:val="00051D8C"/>
    <w:rsid w:val="00053486"/>
    <w:rsid w:val="000649BA"/>
    <w:rsid w:val="00070A43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81B27"/>
    <w:rsid w:val="00187CCD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23AA"/>
    <w:rsid w:val="009E3F75"/>
    <w:rsid w:val="009F46EC"/>
    <w:rsid w:val="00A0325F"/>
    <w:rsid w:val="00A15B51"/>
    <w:rsid w:val="00A21C5C"/>
    <w:rsid w:val="00A2456C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1638B"/>
    <w:rsid w:val="00B241AF"/>
    <w:rsid w:val="00B2490E"/>
    <w:rsid w:val="00B42A60"/>
    <w:rsid w:val="00B42E07"/>
    <w:rsid w:val="00B516C0"/>
    <w:rsid w:val="00B63849"/>
    <w:rsid w:val="00B7156C"/>
    <w:rsid w:val="00B813CD"/>
    <w:rsid w:val="00B902FE"/>
    <w:rsid w:val="00B907C0"/>
    <w:rsid w:val="00BA337C"/>
    <w:rsid w:val="00BB1F68"/>
    <w:rsid w:val="00BC34A6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74CB0"/>
    <w:rsid w:val="00C843F8"/>
    <w:rsid w:val="00C921BB"/>
    <w:rsid w:val="00C94763"/>
    <w:rsid w:val="00C9600D"/>
    <w:rsid w:val="00CB3010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C190C"/>
    <w:rsid w:val="00DD1322"/>
    <w:rsid w:val="00DD292B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37EFA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5</cp:revision>
  <cp:lastPrinted>2021-12-15T16:45:00Z</cp:lastPrinted>
  <dcterms:created xsi:type="dcterms:W3CDTF">2021-12-15T16:45:00Z</dcterms:created>
  <dcterms:modified xsi:type="dcterms:W3CDTF">2022-01-12T14:51:00Z</dcterms:modified>
</cp:coreProperties>
</file>